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444 vom 28. Juni 2022</w:t>
      </w:r>
    </w:p>
    <w:p>
      <w:r>
        <w:t>VD Tribunal cantonal, 2022-06-28, FR</w:t>
      </w:r>
    </w:p>
    <w:p>
      <w:r>
        <w:rPr>
          <w:b/>
        </w:rPr>
        <w:t xml:space="preserve">Quelle: </w:t>
      </w:r>
      <w:r>
        <w:t>https://mcp.opencaselaw.ch/entscheid/vd_findinfo_D_cision___2022___444</w:t>
      </w:r>
    </w:p>
    <w:p>
      <w:r>
        <w:t>FR: VD_FINDINFO Décision / 2022 / 444 du 28 juin 2022</w:t>
      </w:r>
    </w:p>
    <w:p>
      <w:r>
        <w:t>IT: VD_FINDINFO Décision / 2022 / 444 del 28 giugno 2022</w:t>
      </w:r>
    </w:p>
    <w:p>
      <w:pPr>
        <w:pStyle w:val="Heading2"/>
      </w:pPr>
      <w:r>
        <w:t>Regeste</w:t>
      </w:r>
    </w:p>
    <w:p>
      <w:r>
        <w:t>MESURE THÉRAPEUTIQUE INSTITUTIONNELLE, ÉTABLISSEMENT PÉNITENTIAIRE | 59 CP</w:t>
      </w:r>
    </w:p>
    <w:p>
      <w:pPr>
        <w:pStyle w:val="Heading2"/>
      </w:pPr>
      <w:r>
        <w:t>Erwägungen</w:t>
      </w:r>
    </w:p>
    <w:p>
      <w:r>
        <w:rPr>
          <w:b/>
        </w:rPr>
        <w:t>E. 1.1</w:t>
      </w:r>
    </w:p>
    <w:p>
      <w:r>
        <w:t>Aux termes de l'art. 38 al. 1 LEP (loi sur l'exécution des condamnations pénales du 4 juillet 2006 ; BLV 340.01), les décisions rendues par l'OEP – lequel est compétent pour mandater l'établissement dans lequel la personne condamnée sera placée (art. 21 al. 2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d'organisation judiciaire du 12 septembre 1979 ; BLV 173.01]).</w:t>
      </w:r>
    </w:p>
    <w:p>
      <w:r>
        <w:rPr>
          <w:b/>
        </w:rPr>
        <w:t>E. 1.2</w:t>
      </w:r>
    </w:p>
    <w:p>
      <w:r>
        <w:t>En l’espèce, interjeté dans le délai légal, auprès de l'autorité compétente, par un condamné qui a qualité pour recourir (art. 382 al. 1 CPP) et dans les formes prescrites (art. 385 al. 1 CPP), le recours est recevable.</w:t>
      </w:r>
    </w:p>
    <w:p>
      <w:r>
        <w:rPr>
          <w:b/>
        </w:rPr>
        <w:t>E. 2</w:t>
      </w:r>
    </w:p>
    <w:p>
      <w:r>
        <w:t>Le recourant soutient que la révocation de la libération conditionnelle de la mesure thérapeutique institutionnelle n’est pas justifiée, dès lors qu’il n’a commis aucune infraction mais a seulement violé le cadre qui lui était fixé par l’EPSM Les Myosotis. Or, il n’a pas recouru contre l’ordonnance du 24 février 2022 de la Juge d’application des peines révoquant sa libération conditionnelle de la mesure et ordonnant sa réintégration dans l’exécution de celle-ci. Tous les arguments avancés à l’encontre de cette ordonnance sont par conséquent irrecevables.</w:t>
      </w:r>
    </w:p>
    <w:p>
      <w:r>
        <w:rPr>
          <w:b/>
        </w:rPr>
        <w:t>E. 3.1</w:t>
      </w:r>
    </w:p>
    <w:p>
      <w:r>
        <w:t>Le recourant fait valoir que la prison de La Croisée n’est pas un établissement adéquat pour exécuter une mesure thérapeutique institutionnelle et que le fait que l’établissement carcéral dispose d’un service médical n’est pas suffisant pour répondre aux exigences de soins de la mesure ordonnée, comme cela est exposé par la Cour européenne des droits de l’homme.</w:t>
      </w:r>
    </w:p>
    <w:p>
      <w:r>
        <w:rPr>
          <w:b/>
        </w:rPr>
        <w:t>E. 3.2</w:t>
      </w:r>
    </w:p>
    <w:p>
      <w:r>
        <w:t>Aux termes de l'art. 59 al. 1 CP, lorsque l'auteur souffre d'un grave trouble mental, le juge peut ordonner un traitement institutionnel aux conditions suivantes : l'auteur a commis un crime ou un délit en relation avec ce trouble (let. a) et il est à prévoir que cette mesure le détournera de nouvelles infractions en relation avec ce trouble (let. b). Selon l’art. 59 al. 2 CP, le traitement institutionnel s’effectue dans un établissement psychiatrique approprié ou dans un établissement d’exécution des mesures. L'établissement spécialisé d'exécution des mesures doit être dirigé ou surveillé par un médecin ; il faut en outre qu'il dispose des installations nécessaires ainsi que d'un personnel disposant d'une formation appropriée et placé sous surveillance médicale (TF 6B_1322/2021 du 11 mars 2022 consid. 2.2 ; TF 6B_1483/2020 du 15 septembre 2021 consid. 5.1 ; TF 6B_445/2013 du 14 janvier 2014 consid. 4.4.1 ; TF 6B_384/2010 du 15 septembre 2010 consid. 2.1.1). En vertu de l’art. 59 al. 3 CP, le traitement s’effectue dans un établissement fermé tant qu’il y a lieu de craindre que l’auteur s’enfuie ou commette de nouvelles infractions. Il peut aussi être effectué dans un établissement pénitentiaire au sens de l’art. 76 al. 2 CP – soit dans un établissement fermé ou dans la section fermée d’un établissement ouvert – dans la mesure où le traitement thérapeutique nécessaire est assuré par du personnel qualifié. En introduisant, à l'art. 59 al. 3 CP, la possibilité d'exécuter une mesure institutionnelle dans un établissement pénitentiaire, le législateur a introduit une exception au principe de la séparation des lieux d'exécution des mesures de ceux d'exécution des peines (ATF 142 IV 1 consid. 2.4.3, JdT 2016 IV 329 ; TF 6B_1069/2021 du 12 novembre 2021 consid. 2.2 ; TF 6B_154/2017 du 25 octobre 2017 consid. 2.3.1 ; TF 6B_538/2013 du 14 octobre 2013 consid. 6.1.1). Par conséquent, l'art. 59 al. 3 CP prime l'art. 58 al. 2 CP dans la mesure où il constitue une lex specialis . En outre, l'art. 59 al. 3 CP n'exige pas que du personnel qualifié soit présent en permanence dans l'établissement, comme ce serait le cas pour un établissement spécialisé d'exécution des mesures (TF 6B_1322/2021 du 11 mars 2022 consid. 2.6.2). Le choix du lieu d’exécution constitue une modalité d’exécution de la mesure, qui relève de la compétence de l’autorité d’exécution (ATF 142 IV 1 consid. 2.5, JdT 2016 IV 329 spéc. 338 ; TF 6B_703/2016 du 2 juin 2017). Aux termes de l’art. 21 al. 2 let. a LEP, dans le cas où un traitement thérapeutique institutionnel a été ordonné à l’endroit d’une personne condamnée, l’OEP est compétent pour mandater l’établissement dans lequel la personne condamnée sera placée, notamment en tenant compte du risque de fuite ou de récidive (art. 59 al. 2 et 3 CP). Avant de prendre la décision visée à l’art. 21 al. 2 let. a, l’art. 21 al. 4 LEP prévoit que l’OEP doit solliciter un avis de la CIC, afin d’apprécier la dangerosité que présente la personne condamnée pour la collectivité (art. 75a CP). Le préavis de la CIC est traité comme l’avis d’un expert ou un rapport officiel (TF 6B_1584/2020 du 15 septembre 2021 consid. 3.1.2 et les références). La prison de La Tuilière et les EPO sont des établissements adéquats pour un suivi psychothérapeutique, dès lors qu’ils disposent d’une unité psychiatrique gérée par le SMPP susceptible de prendre en charge un traitement thérapeutique institutionnel (CREP 4 septembre 2019/719 consid. 2.3 ; CREP 24 avril 2019/321 consid. 2.3). Il est notoire et admis que la prison de La Croisée est également un établissement adéquat pour une mesure thérapeutique institutionnelle, puisque le SMPP y assure une présence médicale et thérapeutique, respectivement que le traitement nécessaire est exercé par du personnel qualifié conformément à l’art. 59 al. 3 CP (CREP 1 er avril 2022/224 consid. 3.3 ; CREP 6 septembre 2018/681 consid. 2.3 ; TF 6B_1051/2020 du 24 septembre 2021 consid. 4.4).</w:t>
      </w:r>
    </w:p>
    <w:p>
      <w:r>
        <w:rPr>
          <w:b/>
        </w:rPr>
        <w:t>E. 3.3</w:t>
      </w:r>
    </w:p>
    <w:p>
      <w:r>
        <w:t>En l’espèce, dans son rapport du 25 avril 2019, le SMPP a indiqué que le recourant bénéficiait d’un suivi psychothérapeutique à visée de soutien depuis le début de son incarcération. Lors de sa détention aux EPO (à partir du 16 janvier 2018), le dispositif thérapeutique comprenait des entretiens médico-infirmiers bimensuels ou hebdomadaires. Lors de sa détention à la prison de La Tuilière (à partir du 16 mai 2018), le dispositif de prise en charge comprenait des entretiens psychiatriques réguliers avec le Dr [...], ainsi qu’avec son infirmière référente, Mme [...]. Depuis février 2019, dans une volonté de renforcer le dispositif thérapeutique, des entretiens bimensuels ont été mis en place avec Mme [...], psychologue. Dans son rapport du 2 novembre 2020, la Directrice ad interim de la prison de La Tuilière a indiqué que le recourant était suivi régulièrement par la psychiatre [...] et par la psychologue [...]. L’intéressé bénéficiait également du suivi d’un infirmier case manager du SMPP, [...]. Selon le rapport de l’EPSM Les Myosotis du 31 mars 2021, le recourant bénéficiait d’un entretien tous les quinze jours avec la Dresse F.________, psychiatre à l’Hôpital de Prangins, de deux entretiens par semaine avec son infirmière et son assistante socio-éducative et d’un entretien tous les quinze jours avec son infirmier case manager. Depuis sa réincarcération en décembre 2021, le recourant bénéficie à nouveau d’un suivi psychiatrique auprès du SMPP. En résumé de ce qui précède, depuis son incarcération le 2 novembre 2005 en raison de sa tentative de meurtre à l’encontre de son cousin, le recourant a bénéficié d’un suivi thérapeutique constant et approprié dans tous les établissements dans lesquels il a séjourné, à savoir la prison de La Croisée, les EPO, la prison de La Tuilière et l’EPSM Les Myosotis. Depuis sa réincarcération à titre de mesure d’extrême urgence à la prison de La Croisée en décembre 2021, il bénéfice à nouveau d’un suivi thérapeutique prodigué par le SMPP, ce qui, au vu de la jurisprudence du Tribunal fédéral, est suffisant pour retenir que le traitement thérapeutique nécessaire est assuré par du personnel qualifié au sens de l’art. 59 al. 3 CP. Le fait que la Dresse F.________ préconise un placement dans un établissement psychiatrique en milieu fermé et non dans un établissement pénitentiaire, comme le recourant le plaide, n’y change rien. De toute manière, sur le principe, on ne distingue pas qu’un médecin puisse recommander le placement d’un patient dans une prison. Enfin, comme indiqué pertinemment par la Dresse [...] dans son rapport complémentaire du 9 décembre 2016 (p. 4), ce n’est pas au médecin de décider en dernier lieu de la mesure sécuritaire à privilégier, mais à l’autorité d’exécution des peines. Le placement du recourant à la prison de La Croisée en tant que lieu de mise en œuvre de la mesure thérapeutique institutionnelle ne prête par conséquent nullement le flanc à la critique. Le grief du recourant tiré d’une détention illicite dans cet établissement carcéral est ainsi infondé.</w:t>
      </w:r>
    </w:p>
    <w:p>
      <w:r>
        <w:rPr>
          <w:b/>
        </w:rPr>
        <w:t>E. 4.1</w:t>
      </w:r>
    </w:p>
    <w:p>
      <w:r>
        <w:t>Le recourant soutient que l’autorité devait ordonner une nouvelle expertise avant de le placer dans un établissement fermé.</w:t>
      </w:r>
    </w:p>
    <w:p>
      <w:r>
        <w:rPr>
          <w:b/>
        </w:rPr>
        <w:t>E. 4.2</w:t>
      </w:r>
    </w:p>
    <w:p>
      <w:r>
        <w:t>Selon la jurisprudence, le juge peut se fonder sur une expertise qui figure déjà au dossier si celle-ci est encore suffisamment actuelle. L'élément déterminant pour trancher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(ATF 134 IV 246 consid. 4.3 ; TF 6B_72/2020 du 8 avril 2020 consid. 2.1). Savoir si les circonstances se sont modifiées depuis la première expertise relève du fait (ATF 106 IV 236 consid. 2a ; TF 6B_72/2020 précité consid. 2.1). Déterminer si les circonstances nouvelles dûment constatées imposent de réitérer l'expertise est une question d'appréciation, soit de droit (ATF 105 IV 161 consid. 2 ; TF 6B_72/2020 précité consid. 2.1) (CREP 23 août 2021/747 ; CREP 17 mars 2021/266).</w:t>
      </w:r>
    </w:p>
    <w:p>
      <w:r>
        <w:rPr>
          <w:b/>
        </w:rPr>
        <w:t>E. 4.3</w:t>
      </w:r>
    </w:p>
    <w:p>
      <w:r>
        <w:t>Comme exposé ci-dessus, l'ancienneté de l’expertise du 30 juin 2016 ne suffit pas à elle seule à imposer la mise en œuvre d'une nouvelle expertise. Il s’agit bien plutôt d’examiner l’évolution qui s’est produite depuis cette expertise. Le rapport de la psychiatre F.________ du 13 décembre 2021 ne démontre aucune modification majeure – favorable – de l’état de santé psychique du recourant depuis l’expertise du 30 juin 2016. La praticienne a en effet indiqué que le recourant souffrait toujours d’un trouble affectif bipolaire, avec une hétérogénéité typique des trois symptômes principaux constituant les épisodes maniaques (humeur euphorique, accélération des processus idéiques et hyperactivité physique), et que ce trouble psychique était accompagné d’une comorbidité sous la forme d’un syndrome de dépendance aux opiacés. L’experte a en outre observé qu’aucun travail psychique de maturation n’avait été objectivé chez l’intéressé, que son discours sur les faits pour lesquels il avait été condamné était marqué par la persistance d’un déni massif, que le condamné n’envisageait aucun engagement dans un travail de confrontation à son acte de violence extrême (tentative de meurtre), que son appréciation du changement qu’il estimait avoir opéré était du registre de la mythomanie et de la manipulation, que ses capacités à affronter une libération conditionnelle étaient insuffisantes du point de vue psychiatrique, que son engagement dans les soins et le cadre imposé était très faible, que le score de récidive non négligeable retenu en 2016 était non seulement toujours d’actualité, mais également fortement renforcé par l’absence de facteurs de protection, et que le potentiel de réhabilitation dans la société pouvait être qualifié de très bas. Comme retenu dans l’expertise du 30 juin 2016, le risque de récidive était toujours considéré comme élevé et un suivi psychiatrique était toujours nécessaire. Par conséquent, il n’existe aucune circonstance nouvelle susceptible de modifier les conclusions de l’expertise du 30 juin 2016 quant aux troubles graves dont le recourant souffre, au risque de récidive élevé constaté et à la nécessité d’un traitement pour tenter d’améliorer son état de santé psychique. L’autorité intimée pouvait donc statuer sur la base des éléments en sa possession, soit selon l’expertise du 30 juin 2016 et son complément du 9 décembre 2016, ainsi que le rapport de la Dresse F.________ du 13 décembre 2021, s'agissant des modalités d'exécution de la mesure thérapeutique institutionnelle.</w:t>
      </w:r>
    </w:p>
    <w:p>
      <w:r>
        <w:rPr>
          <w:b/>
        </w:rPr>
        <w:t>E. 5.1</w:t>
      </w:r>
    </w:p>
    <w:p>
      <w:r>
        <w:t>Le recourant conteste le fait d’avoir été placé en milieu fermé et considère que sa réintégration dans la mesure thérapeutique institutionnelle ne pouvait se faire que dans le type d’établissement dans lequel il était placé en dernier lieu. Il estime qu’il s’agira de préciser que le futur établissement dans lequel il sera placé soit à même de traiter ses addictions aux substances psychoactives.</w:t>
      </w:r>
    </w:p>
    <w:p>
      <w:r>
        <w:rPr>
          <w:b/>
        </w:rPr>
        <w:t>E. 5.2</w:t>
      </w:r>
    </w:p>
    <w:p>
      <w:r>
        <w:t>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(TF 6B_1216/2018 du 16 janvier 2019 consid. 1.1 ; TF 6B_1243/2017 du 13 mars 2018 consid. 1.1 ; TF 6B_319/2017 du 28 septembre 2017 consid. 1.1).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Il s'agit ici de la dangerosité externe du prévenu (TF 6B_1243/2017 du 13 mars 2018 consid. 1.1 ; TF 6B_319/2017 du 28 septembre 2017 consid. 1.1 ; TF 6B_1045/2013 du 14 avril 2014 consid. 2.1.1 et les références).</w:t>
      </w:r>
    </w:p>
    <w:p>
      <w:r>
        <w:rPr>
          <w:b/>
        </w:rPr>
        <w:t>E. 5.3</w:t>
      </w:r>
    </w:p>
    <w:p>
      <w:r>
        <w:t>En l’espèce, entre 2003 et 2015, le recourant a connu de multiples hospitalisations, en mode PLAFA pour certaines, au cours desquelles il a fugué à de nombreuses reprises. Il a fugué du CAAD à Saxon en 2017 alors que cela ne faisait que quelques jours qu’il y était placé. Dès l’instant où il a obtenu le bénéfice d’un cadre moins restrictif au sein de l’EPSM Les Myosotis, soit une sortie mensuelle de quatre heures à partir du 5 mai 2021, il a fugué à de multiples reprises. Il a encore fugué à plusieurs reprises lorsqu’il a été hospitalisé en PLAFA à l’Hôpital de Prangins du</w:t>
      </w:r>
    </w:p>
    <w:p>
      <w:r>
        <w:rPr>
          <w:b/>
        </w:rPr>
        <w:t>E. 6</w:t>
      </w:r>
    </w:p>
    <w:p>
      <w:r>
        <w:t>Il résulte de ce qui précède que le recours, manifestement mal fondé, doit être rejeté sans échange d'écritures (art. 390 al. 2 CPP) et l'ordonnance entreprise confirmée. L’avocate Kathrin Gruber est désignée en qualité de défenseur d’office de X.________ pour la procédure de recours. Au vu du travail accompli, il sera retenu 3 heures d'activité au tarif horaire de 180 fr. (art. 2 al. 1 let. a et 3 al. 2 RAJ [règlement sur l'assistance judiciaire en matière civile du 7 décembre 2010 ; BLV 211.02.3] par renvoi de l'art. 26b TFIP [tarif des frais de procédure et indemnités en matière pénale du 28 septembre 2010 ; BLV 312.03.1]), soit 540 francs. S'y ajoutent 2 % pour les débours (art. 3bis al. 1 RAJ par renvoi de l'art. 26b TFIP), soit 10 fr. 80, et 7,7 % de TVA sur le tout, de sorte que l'indemnité d'office s'élève au total à 594 fr. en chiffres arrondis. Les frais de la procédure de recours, par 1’980 fr. (art. 20 al. 1 TFIP), et les frais imputables à la défense d'office, par 594 fr., seront mis à la charge de X.________, qui succombe (art. 428 al. 1 CPP). X.________ sera tenu de rembourser l’indemnité allouée à son défenseur d’office pour autant que sa situation financière le permette (art. 135 al. 4 CPP). Par ces motifs, la Chambre des recours pénale prononce : I. Le recours est rejeté dans la mesure où il est recevable. II. La décision du 21 avril 2022 est confirmée. III. La requête d’assistance judiciaire est admise et Me Kathrin Gruber est désignée en qualité de défenseur d'office de X.________ pour la procédure de recours. IV. L'indemnité allouée au défenseur d'office de X.________ est fixée à 594 fr. (cinq cent nonante-quatre francs). V. Les frais d’arrêt, par 1'980 fr. (mille neuf cent huitante francs), ainsi que l’indemnité due au défenseur d’office, par 594 fr. (cinq cent nonante-quatre francs), sont mis à la charge de X.________. VI. X.________ sera tenu rembourser l’indemnité allouée sous chiffre IV ci-dessus pour autant que sa situation financière le permette. VII. L’arrêt est exécutoire. La présidente : La greffière : Du Le présent arrêt, dont la rédaction a été approuvée à huis clos, est notifié, par l'envoi d'une copie complète, à : - M. X.________, prison de La Croisée, - Me Kathrin Gruber, avocate (pour X.________), - Ministère public central, et communiqué à : - Office d’exécution des peines, - Direction de la prison de La Croisée, - Service médical de la prison de La Croisée, - Unité d’évaluation criminologique, Orbe, - M. [...], case manager du SMPP, Cery, - M. [...], FVP, p. a. prison de La Croisée, - Mme [...], curatrice,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