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436 vom 11. Mai 2022</w:t>
      </w:r>
    </w:p>
    <w:p>
      <w:r>
        <w:t>VD Tribunal cantonal, 2022-05-11, FR</w:t>
      </w:r>
    </w:p>
    <w:p>
      <w:r>
        <w:rPr>
          <w:b/>
        </w:rPr>
        <w:t xml:space="preserve">Quelle: </w:t>
      </w:r>
      <w:r>
        <w:t>https://mcp.opencaselaw.ch/entscheid/vd_findinfo_D_cision___2022___436</w:t>
      </w:r>
    </w:p>
    <w:p>
      <w:r>
        <w:t>FR: VD_FINDINFO Décision / 2022 / 436 du 11 mai 2022</w:t>
      </w:r>
    </w:p>
    <w:p>
      <w:r>
        <w:t>IT: VD_FINDINFO Décision / 2022 / 436 del 11 maggio 2022</w:t>
      </w:r>
    </w:p>
    <w:p>
      <w:pPr>
        <w:pStyle w:val="Heading2"/>
      </w:pPr>
      <w:r>
        <w:t>Regeste</w:t>
      </w:r>
    </w:p>
    <w:p>
      <w:r>
        <w:t>COMPÉTENCE RATIONE LOCI, VIOLATION D'UNE OBLIGATION D'ENTRETIEN, PLAINTE PÉNALE, DÉCISION D'IRRECEVABILITÉ, ADMISSION DE LA DEMANDE | 217 CP, 3 al. 1 CP, 8 al. 1 CP</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Interjeté en temps utile et dans les formes prescrites (art. 385 al. 1 CPP) auprès de l’autorité compétente, par une partie qui a un intérêt juridiquement protégé à l'annulation ou à la modification de la décision (art. 382 al. 1 CPP), le recours est recevable. Les pièces nouvelles sont également recevables (art. 390 al. 4 in fine CPP; CREP 31 mars 2022/228 consid. 1; CREP 8 novembre 2021/1020 consid. 1.3; CREP 9 juillet 2012/427 consid. 1b et les réf. citées).</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RS 101] et art. 2 al. 2 CPP; ATF 138 IV 86 consid. 4.2;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TF 6B_375/2020 du 9 juillet 2020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Code pénal est applicable à quiconque commet un crime ou un délit en Suisse (art. 3 al. 1 CP [Code pénal suisse du 21 décembre 1937; RS 311.0]). Selon l'art. 8 al. 1 CP, un crime ou un délit est réputé commis tant au lieu où l'auteur a agi ou aurait dû agir qu'au lieu où le résultat s'est produit. Ainsi, pour que l'infraction soit punissable en Suisse, il faut que l'auteur réalise l'un des actes constitutifs sur le territoire suisse. La notion d'acte contenue à l'art. 8 CP doit être appréciée exclusivement au regard des éléments constitutifs décrits dans la norme pénale spéciale (ATF 144 IV 265 consid. 2.7.2 et les réf. cit.; TF 6B_266/2020 du 27 mai 2020 consid. 2.2; TF 6B_905/2019 du 18 septembre 2019 consid. 2.1). La violation d’une obligation d’entretien réprimée par l’art. 217 CP est classée parmi les délits d’omission proprement dit, qui incriminent un comportement typique de nature passive transgressant une injonction d’agir (Dyens, Territorialité et ubiquité en droit pénal international suisse, Bâle 2014, n. 371, p. 106; Dupuis/ Moreillon/Piguet/Berger/Mazou/Rodigari [éd.], Petit commentaire CP, 2 e éd., Bâle 2017, n. 1 ad art. 217 CP). En présence d’un délit par omission, le lieu de l’action se situe là où l’auteur aurait dû agir (ATF 141 IV 205 consid. 5.2, JdT 2016 IV 19). De façon générale, le « lieu où l’auteur aurait dû agir » se rapporte à tout endroit où se trouve l’auteur aussi longtemps que subsiste l’obligation d’agir et qu’il persiste à ne pas s’y soumettre, quoi qu’il ait matériellement la possibilité de s’exécuter. Il ne s’agit pas uniquement du lieu où séjourne habituellement l’auteur, mais de tout endroit où il se trouve, même de façon passagère, s’il est en mesure de se plier à son devoir là où il séjourne (Dyens, op. cit., n. 587 et 588, pp. 176-177). Afin d'éviter des conflits de compétence négatifs, il convient en principe dans le cadre de problématiques internationales d'admettre la compétence des autorités pénales suisses, même en l'absence de lien étroit avec la Suisse (ATF 141 IV 205 consid. 5.2 précité; ATF 133 IV 171 consid. 6.3; TF 6B_266/2020 précité consid. 2.2; TF 6B_905/2019 précité consid. 2.1; TF 6B_549/2013 du 24 février 2014 consid. 5.1). En principe, en matière de violation d’une obligation d’entretien, c’est le domicile du bénéficiaire qui détermine et fixe le for de l'action pénale puisqu’il s'agit d'une dette portable au sens de l'art. 74 al. 2 ch. 1 CO (Code des obligations; RS 220) (ATF 108 IV 170 consid. 2b, JdT 1983 IV 104; ATF 98 IV 205 consid. 1; Dolivo-Bonvin, in : Macaluso/Moreillon/Queloz [éd.], Commentaire romand, Code pénal II, Bâle 2017, n. 32 ad art. 217 CP). Si le créancier est domicilié à l'étranger et le débiteur domicilié en Suisse, les tribunaux suisses ne peuvent être compétents qu’aux conditions des art.</w:t>
      </w:r>
    </w:p>
    <w:p>
      <w:r>
        <w:rPr>
          <w:b/>
        </w:rPr>
        <w:t>E. 3.2</w:t>
      </w:r>
    </w:p>
    <w:p>
      <w:r>
        <w:t>En l’espèce, le débiteur d’aliments est domicilié, ou à tout le moins réside, à [...]. En vertu de jugements rendus en Suisse, il est astreint à verser des contributions d’entretien à son fils mineur, qui vit en Pologne avec sa mère. Indépendamment du domicile du créancier d’aliments, le for pénal est déterminé par le domicile ou le lieu de séjour du débiteur en Suisse. C’est donc à juste titre que la recourante soutient que le for de l’action pénale se trouve en Suisse, soit dans le canton de Vaud, s’agissant d’un débiteur résidant à [...]. Le recours doit être admis pour ce motif déjà. 4. 4.1 Selon l'art. 31 CP, le droit de porter plainte se prescrit par trois mois. Le délai court du jour où l'ayant droit a eu connaissance de l'infraction (quant au calcul du délai : cf. ATF 144 IV 161 consid. 2). Le point de départ du délai est la connaissance de l'auteur et bien entendu également de l'infraction, ce qui, selon la jurisprudence, implique de savoir de manière sûre et fiable que ses éléments constitutifs sont donnés (TF 6B_1025/2021 du 2 mai 2022 consid. 2.1; TF 6B_1275/2019 du 12 février 2020 consid. 2.2; TF 6B_1113/2014 du 28 octobre 2015 consid. 2.1; TF 6B_100/2013 du 17 juin 2013 consid. 1.2; ATF 132 IV 49 consid. 3.2; ATF 126 IV 131 consid. 2a).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 Dupuis et al. [éd], op. cit., n. 4 ad. art. 31 CP). Ce délai impératif de trois mois concerne uniquement les infractions poursuivies sur plainte. Le délai institué par l'art. 31 CP étant un délai de péremption, il ne peut être ni interrompu, ni prolongé (ATF 118 IV 325 consid. 2b). 4.2 La jurisprudence détermine le délai de plainte de l’art. 217 CP par analogie avec la fixation du point de départ de la prescription au sens de l’art. 98 lit. b CP en cas de pluralité d’infractions formant une unité (ATF 118 IV 325 consid. 2b). Or la violation d’une obligation d’entretien constitue un délit continu. En effet, si cette infraction est consommée dès que le débiteur a omis intentionnellement de fournir les aliments ou les subsides dus en vertu du droit de la famille, la situation illicite se prolonge aussi longtemps que le débiteur ne reprend pas ses paiements où ne se trouve pas, sans faute de sa part, dans l’impossibilité de s’acquitter de son dû. Dès lors, le délai de prescription, et donc par analogie celui de la plainte pénale, ne commence à courir que le jour où les agissements coupables ont cessé. Ainsi, lorsque l’auteur omet fautivement et sans interruption pendant un certain temps de fournir, ne fût-ce que partiellement, les contributions dues, le délai de plainte ne commence à courir que depuis la dernière omission coupable ( Dupuis et al. [éd.], op. cit., n. 33 ad art. 217 CP et les références citées). 4.3 En l’espèce, selon la plainte du 4 janvier 2022, un acte de défaut de biens d’un montant de 43'625 fr. 25 a été délivré le 4 février 2021 ( recte : 3 février 2021) par l’Office des poursuites du district de Nyon en faveur d’Y.________ à l’encontre de D.________, pour des contributions d’entretien afférentes à la période de janvier 2013 à juillet 2019, d’un montant net de 33'600 fr., plus intérêts et frais (P. 6/16). En outre, des contributions seulement partielles ont été versées par le débiteur, notamment tout au long de l’année 2021. Même si la plainte n’est pas claire pour ce qui est de l’année 2020, la recourante allègue dans son recours que le prévenu n’a pas respecté son obligation de manière durable, et que la dernière contribution versée par lui date de décembre 2021. Ainsi, il semblerait que, sans discontinuité, les contributions n’ont pas été ou n’ont été que partiellement versées de 2013 à 2019, puis jusqu’au 31 décembre 2021. Ainsi, déposée le 4 janvier 2022, la plainte pénale n’apparaît pas tardive.</w:t>
      </w:r>
    </w:p>
    <w:p>
      <w:r>
        <w:rPr>
          <w:b/>
        </w:rPr>
        <w:t>E. 5</w:t>
      </w:r>
    </w:p>
    <w:p>
      <w:r>
        <w:t>Il s’ensuit que le recours doit être admis et l'ordonnance annulée. Le dossier de la cause doit ainsi être renvoyé au Ministère public pour qu’il ouvre une instruction pénale. Ceci fait, il vérifiera si le prévenu s’est acquitté de l’entier de la pension pour les périodes allant du mois d’août 2019 à décembre 2020 ; si tel est le cas, le droit de porter plainte pour la violation de l’obligation d’entretien qui avait été commise précédemment, de 2013 à juillet 2019, serait prescrite. Vu l’admission du recours, les frais de la procédure, constitués en l’espèce du seul émolument d'arrêt, par 990 fr. (art. 20 al. 1 TFIP [Tarif des frais de procédure et indemnités en matière pénale du 28 septembre 2010; BLV 312.03.1]), seront laissés à la charge de l’Etat (art. 428 al. 4 CPP), D.________ n’ayant pas été invité à se déterminer sur le recours, dès lors qu’une instruction n’est pas encore ouverte. La recourante, qui a procédé avec l’assistance d’un conseil de choix et qui a obtenu entièrement gain de cause, a droit, à la charge de l’Etat, à une indemnité pour ses dépenses obligatoires occasionnées par la procédure de recours (art. 433 CPP, applicable à la procédure de recours par renvoi de l'art. 436 al. 1 CPP; cf. not. TF 6B_1324/2015 du 23 novembre 2016 consid. 2.2). Le tarif horaire sera fixé à 300 fr. pour tenir compte du degré de complexité moyen de la cause (art. 26a al. 4 TFIP). Au vu du mémoire de recours, les honoraires doivent être fixés à 900 fr., correspondant à trois heures d’activité nécessaires d’avocat à 300 fr. de l’heure (cf. art. 26a al. 3 TFIP), auxquels s’ajoutent les débours forfaitaires de 2 %, par 18 fr. (cf. art. 26a TFIP qui renvoie à l'art. 19 al. 2 TDC [tarif des dépens en matière civile du 23 novembre 2010; BLV 270.11.6]), ainsi qu’un montant correspondant à la TVA, par 70 fr. 70. L’indemnité s’élève donc à 989 fr. en chiffres arrondis. Par ces motifs, la Chambre des recours pénale prononce : I. Le recours est admis. II. L’ordonnance du 11 janvier 2022 est annulée. III. Le dossier de la cause est renvoyé au Ministère public de l’arrondissement de La Côte pour qu’il procède dans le sens des considérants. IV. Une indemnité de 989 fr. (neuf cent huitante-neuf francs) est allouée à la recourante pour ses dépenses obligatoires occasionnées par la procédure de recours, à la charge de l’Etat. V. Les frais d’arrêt, par 990 fr. (neuf cent nonante francs), sont laissés à la charge de l’Etat. VI. L’arrêt est exécutoire. La présidente :               Le greffier : Du Le présent arrêt, dont la rédaction a été approuvée à huis clos, est notifié, par l'envoi d'une copie complète, à : - Me Jean-Louis Collart, avocat (pour Y.________),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