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426 vom 21. Februar 2022</w:t>
      </w:r>
    </w:p>
    <w:p>
      <w:r>
        <w:t>VD Tribunal cantonal, 2022-02-21, FR</w:t>
      </w:r>
    </w:p>
    <w:p>
      <w:r>
        <w:rPr>
          <w:b/>
        </w:rPr>
        <w:t xml:space="preserve">Quelle: </w:t>
      </w:r>
      <w:r>
        <w:t>https://mcp.opencaselaw.ch/entscheid/vd_findinfo_D_cision___2022___426</w:t>
      </w:r>
    </w:p>
    <w:p>
      <w:r>
        <w:t>FR: VD_FINDINFO Décision / 2022 / 426 du 21 février 2022</w:t>
      </w:r>
    </w:p>
    <w:p>
      <w:r>
        <w:t>IT: VD_FINDINFO Décision / 2022 / 426 del 21 febbraio 2022</w:t>
      </w:r>
    </w:p>
    <w:p>
      <w:pPr>
        <w:pStyle w:val="Heading2"/>
      </w:pPr>
      <w:r>
        <w:t>Regeste</w:t>
      </w:r>
    </w:p>
    <w:p>
      <w:r>
        <w:t>DÉCISION D'IRRECEVABILITÉ, MOTIVATION DE LA DEMANDE | 385 CPP (CH)</w:t>
      </w:r>
    </w:p>
    <w:p>
      <w:pPr>
        <w:pStyle w:val="Heading2"/>
      </w:pPr>
      <w:r>
        <w:t>Erwägungen</w:t>
      </w:r>
    </w:p>
    <w:p>
      <w:r>
        <w:rPr>
          <w:b/>
        </w:rPr>
        <w:t>E. 1.1</w:t>
      </w:r>
    </w:p>
    <w:p>
      <w:r>
        <w:t>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(Ziegler/Keller, in : Niggli/ Heer/Wiprächtiger [éd.], Basler Kommentar, Schweizerische Strafprozessordnung, Jugendstrafprozessordnung, 2 e éd., Bâle 2014 [ci-après : Basler Kommentar], n. 1a ad art. 385 StPO ; Pitteloud, Code de procédure pénale suisse, Commentaire à l’usage des praticiens, Zurich/St-Gall 2012, n. 1126 ; CREP 19 février 2021/163). Le recourant doit ensuite énoncer « les motifs qui commandent une autre décision » (art. 385 al. 1 let. b CPP), à savoir les arguments, de fait ou de droit, sur lesquels il prétend se fonder pour faire modifier la décision en sa faveur. Cela suppose que le recourant expose précisément, en se référant aux considérants de la décision attaquée, quels motifs commandent – sous l’angle des faits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 déposées devant l’instance précédente (TF 6B_510/2020 du 15 septembre 2020 consid. 2.2 ; TF 1B_472/2019 du 29 octobre 2019 consid. 3.1 ; TF 6B_120/2016 du 20 juin 2016 consid. 3.1 ; Keller, in : Donatsch/Lieber/Summers/Wohlers [éd.], Zürcher Kommentar, Kommentar zur Schweizerischen Strafprozessordnung, 3 e éd. 2020, n. 14 ad art. 396 StPO et les références citées ; Calame, in : Jeanneret et al. [éd.], Commentaire romand, Code de procédure pénale suisse, 2 e éd., Bâle 2019, n. 21 ad art. 385 CPP ; Guidon, in : Basler Kommentar, op. cit., n. 9c ad art. 396 StPO et les références citées).</w:t>
      </w:r>
    </w:p>
    <w:p>
      <w:r>
        <w:rPr>
          <w:b/>
        </w:rPr>
        <w:t>E. 1.3</w:t>
      </w:r>
    </w:p>
    <w:p>
      <w:r>
        <w:t>L’art. 385 al. 2, 1 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w:t>
      </w:r>
    </w:p>
    <w:p>
      <w:r>
        <w:rPr>
          <w:b/>
        </w:rPr>
        <w:t>E. 2</w:t>
      </w:r>
    </w:p>
    <w:p>
      <w:r>
        <w:t>En l’espèce, la Procureure a considéré que le litige qui opposait les parties était de nature civile. Le recourant ne critique pas cette appréciation et se contente d’exposer sa version des faits, soutenant que W.________ aurait rendu son application inutilisable, qu’il ne lui aurait jamais expliqué que celle-ci serait dépendante des serveurs de la société P.________ SA et qu’il ne lui permettrait plus d’accéder au logiciel O.________ alors qu’il l’avait facturé. Force est ainsi de constater que le recours ne satisfait pas aux exigences de motivation de l'art. 385 al. 1 CPP. Un tel défaut ne saurait justifier qu'un délai supplémentaire soit fixé au recourant pour compléter son recours en application de l'art. 385 al. 2 CPP. Le recours doit ainsi être déclaré irrecevable. Cela étant, à supposer recevable, le recours devrait de toute manière être rejeté. Il ressort des pièces annexées à la plainte d’H.________ que W.________ invoque une inexécution du contrat par le plaignant et la compensation, notamment, pour refuser d’exécuter certaines prestations. Le recourant ne cherche pas à démontrer qu’une infraction pénale aurait été commise et on ne voit au demeurant pas laquelle pourrait entrer en ligne de compte. En particulier, dès lors que des prestations ont été fournies, l’hypothèse d’une escroquerie peut être écartée. C’est donc à juste titre que le Ministère public a considéré que le litige relevait uniquement du droit civil et qu’il a refusé d’entrer en matière sur la plainte pénale du recourant.</w:t>
      </w:r>
    </w:p>
    <w:p>
      <w:r>
        <w:rPr>
          <w:b/>
        </w:rPr>
        <w:t>E. 3</w:t>
      </w:r>
    </w:p>
    <w:p>
      <w:r>
        <w:t>Au vu de ce qui précède,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qui doit être considéré comme ayant succombé (art. 428 al. 1 CPP). Par ces motifs, la Chambre des recours pénale prononce : I. Le recours est irrecevable. II. Les frais d’arrêt, par 770 fr. (sept cent septante francs), sont mis à la charge d’H.________. III. L’arrêt est exécutoire. La présidente :               La greffière : Du Le présent arrêt, dont la rédaction a été approuvée à huis clos, est notifié, par l'envoi d'une copie complète, à : - M. H.________,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