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421 vom 22. Juni 2022</w:t>
      </w:r>
    </w:p>
    <w:p>
      <w:r>
        <w:t>VD Tribunal cantonal, 2022-06-22, FR</w:t>
      </w:r>
    </w:p>
    <w:p>
      <w:r>
        <w:rPr>
          <w:b/>
        </w:rPr>
        <w:t xml:space="preserve">Quelle: </w:t>
      </w:r>
      <w:r>
        <w:t>https://mcp.opencaselaw.ch/entscheid/vd_findinfo_D_cision___2022___421</w:t>
      </w:r>
    </w:p>
    <w:p>
      <w:r>
        <w:t>FR: VD_FINDINFO Décision / 2022 / 421 du 22 juin 2022</w:t>
      </w:r>
    </w:p>
    <w:p>
      <w:r>
        <w:t>IT: VD_FINDINFO Décision / 2022 / 421 del 22 giugno 2022</w:t>
      </w:r>
    </w:p>
    <w:p>
      <w:pPr>
        <w:pStyle w:val="Heading2"/>
      </w:pPr>
      <w:r>
        <w:t>Regeste</w:t>
      </w:r>
    </w:p>
    <w:p>
      <w:r>
        <w:t>PROCÈS DEVENU SANS OBJET, INTÉRÊT JURIDIQUEMENT PROTÉGÉ, DÉTENTION PROVISOIRE | 382 al. 1 CPP (CH), 393 al. 1 let. c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 mai 2022/299 consid. 1.1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septembre 1979 ; BLV 173.01]).</w:t>
      </w:r>
    </w:p>
    <w:p>
      <w:r>
        <w:rPr>
          <w:b/>
        </w:rPr>
        <w:t>E. 1.2</w:t>
      </w:r>
    </w:p>
    <w:p>
      <w:r>
        <w:t>En l’espèce, le recours a été interjeté en temps utile devant l’autorité compétente et il satisfait aux conditions de forme posées par l’art. 385 al. 1 CPP.</w:t>
      </w:r>
    </w:p>
    <w:p>
      <w:r>
        <w:rPr>
          <w:b/>
        </w:rPr>
        <w:t>E. 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L’existence d'un intérêt actuel est niée lorsque la mesure de contrainte a été exécutée (TF 1B_550/2021 consid. 3.2 ; ATF 139 I 206 consid. 1.2, RDAF 2014 I 445 ; ATF 136 I 274, JdT 2010 IV 153 ; Sträuli, in : Jeanneret et al. [éd.], Commentaire romand, Code de procédure pénale suisse, 2 e éd., Bâle 2019, nn. 11 et 16 ad art. 393 CPP ; Keller, in : Donatsch/Lieber/Sumers/Wohlers [éd.], Kommentar zur Strafprozessordnung, 3 e éd., Zurich 2020, n. 36 ad art. 393 CPP et les références citées). Selon la doctrine, un intérêt à la constatation de l'illicéité de la mesure effectuée peut cependant entrer en considération (Keller, op. cit., n. 36 ad art. 393 CPP ; Gfeller, in : Niggli/Heer/Wiprächtiger [édit.], Basler Kommentar, Schweizerische Strafprozessordnung, 2 e éd., Bâle 2014, nn. 59 s. ad rem. prél. art. 241-254 CPP).</w:t>
      </w:r>
    </w:p>
    <w:p>
      <w:r>
        <w:rPr>
          <w:b/>
        </w:rPr>
        <w:t>E. 2.2</w:t>
      </w:r>
    </w:p>
    <w:p>
      <w:r>
        <w:t>En l’espèce, le recourant ne dispose plus d’un intérêt actuel et pratique au recours, plus précisément aux conclusions prises dans celui-ci, au sens de la jurisprudence rendue par le Tribunal fédéral à propos de l’art. 382 al. 1 CPP. En effet, à la date du 25 mai 2022, date du dépôt du recours, le recourant avait un intérêt juridique actuel aux conclusions du recours, soit à ce que sa libération soit ordonnée ou que, subsidiairement, des mesures de substitution à la détention provisoire soient ordonnées. Toutefois, dès le 10 juin 2022 (lendemain de l’échéance de la prolongation de la détention prononcée par ordonnance du 5 avril 2022 jusqu’au 9 juin 2022 et premier jour de la prolongation suivante, prononcée par ordonnance du 7 juin 2022), le titre à la détention avait changé, d’une part, et la libération du recourant ne pouvait – en pratique – plus être prononcée pour la période couverte par le titre à la détention précédent, vu l’écoulement du temps, d’autre part. Le recourant ne fait pas valoir qu’il se trouverait dans une des hypothèses où, exceptionnellement, il pourrait être renoncé à la condition de l’intérêt juridique actuel et, en particulier, qu’il ne lui était pas possible de soumettre sa contestation à une autorité judiciaire avant qu’elle ne perde son actualité. Du reste, tel n’est pas le cas puisque le recourant pouvait faire examiner par l’autorité de recours la validité de sa détention provisoire pour la période du 5 mai 2022 (date de sa demande de mise en liberté) au 9 juin 2022 (fin de la durée de la prolongation prononcée le 5 avril 2022). Il lui était loisible, pour ce faire, de prendre des conclusions subsidiaires en constatation du caractère illicite de sa détention pour la période précitée. Or, l’acte de recours ne contient pas de telles conclusions et le recourant n’en a pas prises dans son courrier du 20 juin 2022 après avoir été interpellé par la Chambre de céans le 17 juin 2022. Il s’ensuit que, si le recourant avait bien un intérêt juridique actuel aux conclusions prises dans son recours lors du dépôt de celui-ci, cet intérêt a disparu durant la procédure de recours, pour les motifs précités, d’une part, et qu’il ne fait pas valoir ni a fortiori ne démontre qu’il existerait des circonstances exceptionnelles qui justifieraient tout de même d’entrer en matière sur son recours.</w:t>
      </w:r>
    </w:p>
    <w:p>
      <w:r>
        <w:rPr>
          <w:b/>
        </w:rPr>
        <w:t>E. 3</w:t>
      </w:r>
    </w:p>
    <w:p>
      <w:r>
        <w:t>. Au vu de ce qui précède, il y a lieu de constater que le recours de G.________ est devenu sans objet et de rayer la cause du rôle. Les frais de la procédure de recours, constitués en l’espèce de l'émolument d'arrêt (art. 422 al. 1 CPP), par 880 fr. (art. 20 al. 1 TFIP [Tarif des frais de procédure et indemnités en matière pénale du 28 septembre 2010 ; BLV 312.03.1]), et des frais imputables à la défense d’office (art. 422 al. 1 et 2 let. a CPP), fixés à 540 fr., sur la base d’une durée d’activité nécessaire d’avocat estimée à 3 heures au tarif horaire de 180 fr., auxquels il convient d’ajouter des débours forfaitaires à concurrence de 2 % (art. 3bis al. 1 RAJ [Règlement sur l’assistance judiciaire en matière civile du 7 décembre 2010 ; BLV 211.02.3], applicable par renvoi de l’art. 26b TFIP), par 10 fr. 80 , et la TVA, par 42 fr. 40 , soit 593 fr. 20 au total, arrondis à 594 fr., seront mis à la charge du recourant. En effet, celui-ci a provoqué la procédure sans objet et, interpellé, il a déclaré expressément maintenir son recours (art. 428 CPP ; cf. TF 1B_275/2021 du 1 er octobre 2021 consid. 4 ; TF 1B_308/2021 du 5 juillet 2021 consid. 3 et les références citées).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devenu sans objet. II. La cause est rayée du rôle. III. L’indemnité allouée au défenseur d’office de G.________ est fixée à 594 fr. ( cinq cent nonante-quatre francs) , débours et TVA compris. IV. Les frais d’arrêt, par 770 fr. (sept cent septante francs), ainsi que l’indemnité due au défenseur d’office de G.________, par 594 fr. ( cinq cent nonante-quatre francs) , sont mis à la charge de ce dernier. V. Le remboursement à l’Etat de l’indemnité allouée au chiffre III ci-dessus ne sera exigible que pour autant que la situation financière de G.________ le permette. VI. L’arrêt est exécutoire. La présidente :               La greffière : Du Le présent arrêt, dont la rédaction a été approuvée à huis clos, est notifié, par l'envoi d'une copie complète, à : - Me Dario Barbosa, avocat (pour G.________), - Ministère public central, et communiqué à : - Mme la Présidente du Tribunal des mesures de contrainte, - Me Albert Habib, avocat (pour E.________),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