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408 vom 8. Juni 2022</w:t>
      </w:r>
    </w:p>
    <w:p>
      <w:r>
        <w:t>VD Tribunal cantonal, 2022-06-08, FR</w:t>
      </w:r>
    </w:p>
    <w:p>
      <w:r>
        <w:rPr>
          <w:b/>
        </w:rPr>
        <w:t xml:space="preserve">Quelle: </w:t>
      </w:r>
      <w:r>
        <w:t>https://mcp.opencaselaw.ch/entscheid/vd_findinfo_D_cision___2022___408</w:t>
      </w:r>
    </w:p>
    <w:p>
      <w:r>
        <w:t>FR: VD_FINDINFO Décision / 2022 / 408 du 8 juin 2022</w:t>
      </w:r>
    </w:p>
    <w:p>
      <w:r>
        <w:t>IT: VD_FINDINFO Décision / 2022 / 408 del 8 giugno 2022</w:t>
      </w:r>
    </w:p>
    <w:p>
      <w:pPr>
        <w:pStyle w:val="Heading2"/>
      </w:pPr>
      <w:r>
        <w:t>Regeste</w:t>
      </w:r>
    </w:p>
    <w:p>
      <w:r>
        <w:t>RISQUE DE COLLUSION, RISQUE DE RÉCIDIVE, DÉTENTION PROVISOIRE, DROIT PÉNAL DES MINEURS | 221 al. 1 let. b CPP (CH), 221 al. 1 let. c CPP (CH)</w:t>
      </w:r>
    </w:p>
    <w:p>
      <w:pPr>
        <w:pStyle w:val="Heading2"/>
      </w:pPr>
      <w:r>
        <w:t>Erwägungen</w:t>
      </w:r>
    </w:p>
    <w:p>
      <w:r>
        <w:rPr>
          <w:b/>
        </w:rPr>
        <w:t>E. 1.1</w:t>
      </w:r>
    </w:p>
    <w:p>
      <w:r>
        <w:t>La PPMin (Loi fédérale sur la procédure pénale applicable aux mineurs du 20 mars 2009; RS 312.1) régit la poursuite et le jugement des infractions prévues par le droit fédéral commises par des mineurs au sens de l’art. 3 al. 1 DPMin (Loi fédérale régissant la condition pénale des mineurs du 20 juin 2003; RS 311.1), ainsi que l’exécution des sanctions prononcées à l’encontre de ceux-ci (art. 1 PPMin). Sauf dispositions particulières de la PPMin, le CPP (Code de procédure pénale suisse du 5 octobre 2007; RS 312.0) est applicable, sous la réserve des exceptions exhaustivement énoncées par la loi spéciale (art.</w:t>
      </w:r>
    </w:p>
    <w:p>
      <w:r>
        <w:rPr>
          <w:b/>
        </w:rPr>
        <w:t>E. 1.2</w:t>
      </w:r>
    </w:p>
    <w:p>
      <w:r>
        <w:t>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w:t>
      </w:r>
    </w:p>
    <w:p>
      <w:r>
        <w:rPr>
          <w:b/>
        </w:rPr>
        <w:t>E. 1.3</w:t>
      </w:r>
    </w:p>
    <w:p>
      <w:r>
        <w:t>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ainsi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27 octobre 2021/983 consid. 1.3; CREP 28 décembre 2017/880 consid. 1.3; CREP 8 avril 2011/86 consid. 1c et les réf. citées).</w:t>
      </w:r>
    </w:p>
    <w:p>
      <w:r>
        <w:rPr>
          <w:b/>
        </w:rPr>
        <w:t>E. 1.4</w:t>
      </w:r>
    </w:p>
    <w:p>
      <w:r>
        <w:t>Interjeté dans le délai légal (art. 396 al. 1 CPP; art. 3 al. 1 et 39 al. 1 PPMin), contre une décision du Tribunal des mesures de contrainte dans un cas prévu par le CPP (art. 393 al. 1 let. c CPP), par le prévenu détenu qui a qualité pour recourir (art. 222 et 382 al. 1 CPP; art. 38 PPMin), auprès de l’autorité compétente et dans les formes prescrites (art. 385 al. 1 CPP), le recours est recevable. 2. Selon l’art. 221 al. 1 CPP, applicable par renvoi de l’art. 3 al. 1 et 2 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w:t>
      </w:r>
    </w:p>
    <w:p>
      <w:r>
        <w:rPr>
          <w:b/>
        </w:rPr>
        <w:t>E. 3</w:t>
      </w:r>
    </w:p>
    <w:p>
      <w:r>
        <w:t>al. 1 et 2 PPMin).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w:t>
      </w:r>
    </w:p>
    <w:p>
      <w:r>
        <w:rPr>
          <w:b/>
        </w:rPr>
        <w:t>E. 3.2</w:t>
      </w:r>
    </w:p>
    <w:p>
      <w:r>
        <w:t>En l’espèce, c’est à juste titre que le recourant ne conteste pas que la condition des graves soupçons suffisants d’infractions soit réalisée. En particulier, il admet avoir asséné des coups de pied et un coup de poing à [...], même s’il nie avoir fait usage d’un couteau.</w:t>
      </w:r>
    </w:p>
    <w:p>
      <w:r>
        <w:rPr>
          <w:b/>
        </w:rPr>
        <w:t>E. 4.1</w:t>
      </w:r>
    </w:p>
    <w:p>
      <w:r>
        <w:t>Le recourant conteste en revanche l’existence des risques de collusion et de réitération retenus par le Tribunal des mesures de contrainte. Quant au premier, il fait valoir qu’il s’est expliqué au sujet des faits incriminés, qui seraient donc « entièrement établis ». Il soutient que les versions données par les différents protagonistes des faits sont concordantes et corroborées par les images de vidéosurveillance, ce dont il déduit, en substance, que la question de savoir s’il serait tenté d’influencer les dépositions des tiers en question ne se poserait pas.</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 127 s.; ATF 132 I 21 consid. 3.2 p. 23 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w:t>
      </w:r>
    </w:p>
    <w:p>
      <w:r>
        <w:rPr>
          <w:b/>
        </w:rPr>
        <w:t>E. 4.3</w:t>
      </w:r>
    </w:p>
    <w:p>
      <w:r>
        <w:t>En l’espèce, le couteau dont l’usage est reproché au prévenu n’a pas été retrouvé, en dépit d’une perquisition effectuée dans le logement que l’intéressé partage avec sa mère. Le recourant conteste avoir fait usage d’un couteau, alors même que la victime a présenté une plaie vive qui peut difficilement avoir été occasionnée par les coups de pied et le coup de poing que le recourant admet lui avoir assénés. A cet égard à tout le moins, les faits n’apparaissent ainsi pas entièrement établis. Partant, l’enquête doit se poursuivre, notamment par l’analyse des données extraites du téléphone portable du prévenu, cet appareil n’ayant été saisi que le surlendemain des faits. On ne peut pas exclure que le prévenu et les autres parties à la procédure soient confrontés aux résultats de cette mesure d’investigation lors de nouvelles auditions. Dans ces circonstances, force est d’admettre que, s’il était libéré, le recourant pourrait tenter d’interférer dans l’instruction en cours – laquelle n’en est encore qu’à ses débuts – en tentant notamment de faire pression sur ses comparses, qui ont d’ores et déjà été libérés, ainsi que sur la victime, pour les faire revenir sur leurs déclarations. Un tel comportement est d’autant plus à redouter que le prévenu ne semble pas reculer devant la violence verbale. En témoignent les propos, considérés comme inquiétants par le surveillant-chef et le directeur de l’établissement carcéral, qu’il a tenus en détention, lesquels tendraient à confirmer les craintes que son comportement pouvait susciter (P. 18, précitée). L’existence d’un risque de collusion doit donc être tenue pour avérée.</w:t>
      </w:r>
    </w:p>
    <w:p>
      <w:r>
        <w:rPr>
          <w:b/>
        </w:rPr>
        <w:t>E. 5.1</w:t>
      </w:r>
    </w:p>
    <w:p>
      <w:r>
        <w:t>La Cour examinera également le risque de réitération bien que les hypothèses prévues par l'art. 221 al. 1 CPP soient alternatives et non cumulatives (TF 1B_160/2018 du 19 avril 2018 consid. 3.3; TF 1B_242/2016 du 21 juillet 2016 consid. 5; TF 1B_242/2013 du 5 août 2013 consid. 3; Chaix, in : Jeanneret/Kuhn/ Perrier Depeursinge [éd.], Commentaire romand, Code de procédure pénale suisse, 2 e éd., Bâle 2019, n. 2 ad art. 221 CPP).</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ATF 143 IV 9 consid. 2.5;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146 IV 326 précité; ATF 143 IV 9 précité consid. 2.3.1;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ATF 143 IV 9 précité consid. 2.6 et 2.7;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ATF 146 IV 136 consid. 2.2; ATF 143 IV 9 précité consid. 2.9; TF 1B_570/2021 précité).</w:t>
      </w:r>
    </w:p>
    <w:p>
      <w:r>
        <w:rPr>
          <w:b/>
        </w:rPr>
        <w:t>E. 5.3</w:t>
      </w:r>
    </w:p>
    <w:p>
      <w:r>
        <w:t>Le recourant se prévaut, en substance, d’une intégration sociale et d’un parcours scolaire qu’il tient pour favorables. Il fait valoir en outre que l’altercation en cause n’était pas préméditée et qu’il ne la voulait pas. Les infractions ici en cause ne sont postérieures que de quelque trois semaines à l’ordonnance pénale du 14 avril 2022. La condamnation pour infraction à la Loi fédérale sur les armes, les accessoires d’armes et les munitions (art. 33 al. 1 de la loi) réprime le port d’un couteau « papillon » par le recourant, le 11 septembre 2021. Le passage à l’acte très peu de temps après ce qui aurait dû être perçu comme un sérieux avertissement dénote une inquiétante propension à la violence. Cette première condamnation n’a donc pas eu d’effet de prévention. Plus encore, il semble que le recourant soit parvenu à fourvoyer l’éducatrice du Tribunal des mineurs, dès lors que celle-ci l’a, à l’audience du 9 février 2022, décrit comme un enfant ordinaire, poli et respectueux et qui répond aux atteintes et aux exigences de sa mère. Cette apparente duplicité renforce encore les inquiétudes suscitées par le comportement de l’intéressé. Le risque de réitération doit donc également être tenu pour concret. L’experte psychologue désignée le 25 mai 2022 a accepté le mandat le 1 er juin 2022 et s’est engagée à déposer son rapport dans un délai de quatre mois « au minimum » (P. 24); l’expertise doit débuter en juin 2022. Ce n’est qu’au vu des conclusions de l’experte que la dangerosité du prévenu pourra être appréciée de manière plus circonstanciée.</w:t>
      </w:r>
    </w:p>
    <w:p>
      <w:r>
        <w:rPr>
          <w:b/>
        </w:rPr>
        <w:t>E. 6.1</w:t>
      </w:r>
    </w:p>
    <w:p>
      <w:r>
        <w:t>Le recourant requiert des mesures de substitution à la détention provisoire.</w:t>
      </w:r>
    </w:p>
    <w:p>
      <w:r>
        <w:rPr>
          <w:b/>
        </w:rPr>
        <w:t>E. 6.2.1</w:t>
      </w:r>
    </w:p>
    <w:p>
      <w:r>
        <w:t>Conformément au principe de la proportionnalité (art. 36 al. 3 Cst. [Constitution fédérale de la Confédération suisse du 18 avril 1999; RS 101]; pour la procédure pénale, cf. art. 197 al. 1 let. c CPP, applicable par renvoi de l’art. 3 al. 1 PPMin), il convient d'examiner les possibilités de mettre en œuvre d'autres solutions moins dommageables que la détention (règle de la nécessité), qui représente l' ultima ratio (ATF 140 IV 74 consid. 2.2, JdT 2014 IV 289), plus encore dans une procédure dirigée contre un mineur (cf. l’art. 27 al. 1 PPMin, précité). Cette exigence est concrétisée par l'art. 237 al. 1 CPP, applicable par renvoi de l’art. 3 al. 1 PPMin,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6.2.2</w:t>
      </w:r>
    </w:p>
    <w:p>
      <w:r>
        <w:t>Selon l’art. 212 al. 3 CPP , applicable par renvoi de l’art. 3 al. 1 PPMin,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ATF 143 IV 168 consid. 5.1; ATF 139 IV 270 précité).</w:t>
      </w:r>
    </w:p>
    <w:p>
      <w:r>
        <w:rPr>
          <w:b/>
        </w:rPr>
        <w:t>E. 6.3</w:t>
      </w:r>
    </w:p>
    <w:p>
      <w:r>
        <w:t>Aucune mesure de substitution n’est propre à pallier les risques retenus, notamment pas celles que propose le recourant. En effet, l’interdiction de contacter certaines personnes ne reposerait que sur sa volonté de s’y soumettre, ce qui ne saurait suffire au vu du manque de respect que l’intéressé a envers la loi (cf. ci-dessus). Il en va de même de l’assignation à résidence (cf. not. CREP 30 mai 2022/384 consid. 5.3). La détention provisoire satisfait ainsi à l’exigence posée par l’art. 27 al. 1 PPMin. Le fait qu’elle soit de nature à mettre en échec les projets scolaires du prévenu n’y change rien, au vu de la gravité des infractions qui lui sont reprochées. Pour le reste, la durée de la détention provisoire subie, respectivement à subir jusqu’au 14 juin 2022, reste à l’évidence proportionnée à la peine susceptible d’être prononcée en cas de condamnation.</w:t>
      </w:r>
    </w:p>
    <w:p>
      <w:r>
        <w:rPr>
          <w:b/>
        </w:rPr>
        <w:t>E. 7</w:t>
      </w:r>
    </w:p>
    <w:p>
      <w:r>
        <w:t>Il résulte de ce qui précède que le recours doit être rejeté sans échange d’écritures (art. 390 al. 2 CPP, applicable par renvoi de l’art. 3 al. 1 PPMin) et l’ordonnance attaquée confirmée. Les frais de la procédure de recours sont constitués en l’espèce de l’émolument d'arrêt, par 660 fr. (art. 20 al. 1 TFIP [Tarif des frais judiciaires de procédure et indemnités en matière pénale du 28 septembre 2010; BLV 312.03.1]), l’émolument étant réduit de moitié en cas de procédure pénale applicable aux mineurs (art. 21 al. 3 TFIP), et des frais imputables à la défense d’office (art. 422 al. 1 et 2 let. a CPP, applicable par renvoi de l’art. 3 al. 1 PPMin). Ces derniers frais seront fixés à 540 fr. (pour 3 heures d’activité nécessaire d’avocat au tarif horaire de 180 fr.), auxquels il convient d’ajouter des débours forfaitaires à concurrence de 2 %, par 10 fr. 80, plus la TVA, par 42 fr. 50, soit à 594 fr. au total en chiffres arrondis. Les frais seront mis à la charge du recourant, qui succombe (art. 428 al. 1 CPP, applicable par renvoi de l’art. 3 al. 1 PPMin). Le remboursement à l’Etat de l’indemnité allouée au défenseur d’office du recourant ne sera toutefois exigible que pour autant que la situation financière de ce dernier le permette (art. 135 al. 4 CPP, applicable par renvoi de l’art. 3 al. 1 PPMin). Par ces motifs, la Chambre des recours pénale prononce : I. Le recours est rejeté. II. L’ordonnance du 31 mai 2022 est confirmée. III. L’indemnité allouée au défenseur d’office de N.________ est fixée à 594 fr. (cinq cent nonante-quatre francs). IV. Les frais d’arrêt, par 660 fr. (six cent soixante francs), ainsi que l’indemnité due au défenseur d’office de N.________, par 594 fr. (cinq cent nonante-quatre francs), sont mis à la charge de ce dernier. V. Le remboursement à l'Etat de l'indemnité allouée au chiffre III ci-dessus ne sera exigible que pour autant que la situation financière de N.________ le permette. VI. L’arrêt est exécutoire. Le vice-président : Le greffier : Du Le présent arrêt, dont la rédaction a été approuvée à huis clos, est notifié, par l'envoi d'une copie complète, à : - Me Audrey Gohl, avocate (pour N.________), - Mme Ganna N.________, et communiqué à : ‑ Mme la Présidente du Tribunal des mineurs,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