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401 vom 23. Mai 2022</w:t>
      </w:r>
    </w:p>
    <w:p>
      <w:r>
        <w:t>VD Tribunal cantonal, 2022-05-23, FR</w:t>
      </w:r>
    </w:p>
    <w:p>
      <w:r>
        <w:rPr>
          <w:b/>
        </w:rPr>
        <w:t xml:space="preserve">Quelle: </w:t>
      </w:r>
      <w:r>
        <w:t>https://mcp.opencaselaw.ch/entscheid/vd_findinfo_D_cision___2022___401</w:t>
      </w:r>
    </w:p>
    <w:p>
      <w:r>
        <w:t>FR: VD_FINDINFO Décision / 2022 / 401 du 23 mai 2022</w:t>
      </w:r>
    </w:p>
    <w:p>
      <w:r>
        <w:t>IT: VD_FINDINFO Décision / 2022 / 401 del 23 maggio 2022</w:t>
      </w:r>
    </w:p>
    <w:p>
      <w:pPr>
        <w:pStyle w:val="Heading2"/>
      </w:pPr>
      <w:r>
        <w:t>Regeste</w:t>
      </w:r>
    </w:p>
    <w:p>
      <w:r>
        <w:t>DÉFENSE D'OFFICE, CHOIX DU DÉFENSEUR, REJET DE LA DEMANDE | 133 al. 2 CPP (CH), 134 al. 2 CPP (CH)</w:t>
      </w:r>
    </w:p>
    <w:p>
      <w:pPr>
        <w:pStyle w:val="Heading2"/>
      </w:pPr>
      <w:r>
        <w:t>Erwägungen</w:t>
      </w:r>
    </w:p>
    <w:p>
      <w:r>
        <w:rPr>
          <w:b/>
        </w:rPr>
        <w:t>E. 1</w:t>
      </w:r>
    </w:p>
    <w:p>
      <w:r>
        <w:t>let. b CPP et 13 LVCPP [loi vaudoise d’introduction du Code de procédure pénale suisse du 19 mai 2009 ; BLV 312.01]), par la prévenue qui a un intérêt juridiquement protégé (art. 382 al. 1 CPP) à obtenir la modification d’une ordonnance de remplacement du défenseur d’office , le recours est recevable.</w:t>
      </w:r>
    </w:p>
    <w:p>
      <w:r>
        <w:rPr>
          <w:b/>
        </w:rPr>
        <w:t>E. 1.1</w:t>
      </w:r>
    </w:p>
    <w:p>
      <w:r>
        <w:t>Les décisions de la direction de la procédure en matière de révocation et de remplacement du défenseur d'office ou du conseil juridique gratuit sont susceptibles de recours selon les art. 393 ss CPP (Code de procédure pénale suisse du 5 octobre 2007 ; RS 312.0) (TF 1B_388/2020 du 2 septembre 2020 consid. 1 ; CREP 19 juillet 2019/583 ; Harari/Jakob/Santamaria, in : Jeanneret et al. [éd.], Commentaire romand, Code de procédure pénale suisse, 2 e éd., Bâle 2019, n. 25 ad art. 134 CPP).</w:t>
      </w:r>
    </w:p>
    <w:p>
      <w:r>
        <w:rPr>
          <w:b/>
        </w:rPr>
        <w:t>E. 1.2</w:t>
      </w:r>
    </w:p>
    <w:p>
      <w:r>
        <w:t>En l'espèce, interjeté en temps utile (art. 396 al. 1 CPP) auprès de l’autorité compétente (art. 20 al.</w:t>
      </w:r>
    </w:p>
    <w:p>
      <w:r>
        <w:rPr>
          <w:b/>
        </w:rPr>
        <w:t>E. 2.1</w:t>
      </w:r>
    </w:p>
    <w:p>
      <w:r>
        <w:t>Aux termes de l'art. 133 CPP, le défenseur d’office est désigné par la direction de la procédure compétente au stade considéré (al. 1). Lorsqu’elle nomme le défenseur d’office, la direction de la procédure prend en considération les souhaits du prévenu dans la mesure du possible (al. 2). En vertu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L’art. 133 al. 2 CPP concrétise la jurisprudence du Tribunal fédéral et de la Cour européenne des droits de l'homme relative aux art. 29 al. 3 Cst. (Constitution fédérale de la Confédération suisse du 18 avril 1999 ; RS 101) et 6 par. 3 let. c CEDH (Convention de sauvegarde des droits de l'homme et des libertés fondamentales du 4 novembre 1950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(Message du Conseil fédéral du 21 décembre 2005 relatif à l'unification du droit de la procédure [Message], FF 2006 p. 1057, spéc. p. 1159). Le droit de proposition de l'art. 133 al. 2 CPP ne peut être invoqué qu'une fois, en principe au début de la procédure (TF 1B_44/2019 du 30 janvier 2019 consid. 2.2 ; TF 1B_103/2017 du 27 avril 2017 consid. 2.2). Il convient ainsi d'éviter que le recourant ne retarde l'avancement de la procédure en usant de ce droit à un stade inopportun de la procédure. Cette solution restrictive s'avère en outre conforme au principe selon lequel le prévenu – qui remplit les conditions d'une défense d'office – ne dispose pas d'un droit inconditionnel à choisir librement son défenseur ou à obtenir celui qu'il propose. L'art. 134 al. 2 CPP ne mentionne pas un tel droit de proposition du prévenu lorsque la direction de la procédure confie la défense d'office à un autre conseil (TF 1B_103/2017 du 27 avril 2017 consid. 2.2 ; TF 1B_178/2013 du 11 juillet 2013 consid. 2.2).</w:t>
      </w:r>
    </w:p>
    <w:p>
      <w:r>
        <w:rPr>
          <w:b/>
        </w:rPr>
        <w:t>E. 2.2</w:t>
      </w:r>
    </w:p>
    <w:p>
      <w:r>
        <w:t>En l’espèce, la recourante a demandé au Ministère public de nommer Me A.________ en remplacement de son précédent défenseur d’office tout en demandant un délai supplémentaire de deux semaines pour confirmer ce choix. Or, si on peut admettre que la recourante pouvait encore émettre un souhait s’agissant de l’identité de son défenseur d’office – le premier avocat qu’elle avait choisi ayant décidé de quitter le barreau –, elle ne pouvait en revanche pas se réserver la possibilité d’ultérieurement changer d’avis. C’est donc en vain que la recourante demande désormais que Me [...] soit désigné à la place de Me A.________. D’ailleurs, le motif invoqué pour justifier ce revirement – soit que Me D.________ ne pouvait pas la recevoir avant le 17 mai 2022 alors que le 16 mai 2022 était « la date limite d’appel de la décision concernant le nouvel avocat de la défense » (cf. P. 37) – ne justifiait pas un changement d’avocat, l’affaire ne présentant à ce stade aucun caractère d’urgence et l’intéressée ayant été en mesure – après s’être rendue à l’étude de MeA.________ mais « sans pouvoir le rencontrer » (recours, p. 2) – d’interjeter personnellement recours contre l’ordonnance du 5 mai 2022 auprès de l’autorité compétente dans les formes et délais légaux. La décision attaquée, qui désigne comme défenseur d’office l’avocat initialement choisi par la recourante, est donc bien fondée. Quant aux arguments de la recourante tendant à « clarifier [s]on identité dans le système juridique suisse » (recours, p. 2), ils ne relèvent pas de la compétence de l’autorité de recours et sont par conséquent irrecevables.</w:t>
      </w:r>
    </w:p>
    <w:p>
      <w:r>
        <w:rPr>
          <w:b/>
        </w:rPr>
        <w:t>E. 3</w:t>
      </w:r>
    </w:p>
    <w:p>
      <w:r>
        <w:t>Il résulte de ce qui précède que le recours, manifestement infondé, doit être rejeté dans la mesure de sa recevabilité, sans échange d'écritures (art. 390 al. 2 CPP), et l'ordonnance entreprise confirmée. Les frais de la procédure de recours, par 660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de sa recevabilité. II. L’ordonnance du 5 mai 2022 est confirmée. III. Les frais d'arrêt, par 660 fr. (six cent soixante francs), sont mis à la charge de V.________. IV. L’arrêt est exécutoire. La présidente :               Le greffier : Du Le présent arrêt, dont la rédaction a été approuvée à huis clos, est notifié, par l'envoi d'une copie complète, à : - Mme V.________, - Me A.________, avocat (pour V.________), - Ministère public central, et communiqué à : ‑ Mme la Procureure de l’arrondissement de Lausanne, - Me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