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382 vom 5. Mai 2022</w:t>
      </w:r>
    </w:p>
    <w:p>
      <w:r>
        <w:t>VD Tribunal cantonal, 2022-05-05, FR</w:t>
      </w:r>
    </w:p>
    <w:p>
      <w:r>
        <w:rPr>
          <w:b/>
        </w:rPr>
        <w:t xml:space="preserve">Quelle: </w:t>
      </w:r>
      <w:r>
        <w:t>https://mcp.opencaselaw.ch/entscheid/vd_findinfo_D_cision___2022___382</w:t>
      </w:r>
    </w:p>
    <w:p>
      <w:r>
        <w:t>FR: VD_FINDINFO Décision / 2022 / 382 du 5 mai 2022</w:t>
      </w:r>
    </w:p>
    <w:p>
      <w:r>
        <w:t>IT: VD_FINDINFO Décision / 2022 / 382 del 5 maggio 2022</w:t>
      </w:r>
    </w:p>
    <w:p>
      <w:pPr>
        <w:pStyle w:val="Heading2"/>
      </w:pPr>
      <w:r>
        <w:t>Regeste</w:t>
      </w:r>
    </w:p>
    <w:p>
      <w:r>
        <w:t>EXPERTISE PSYCHIATRIQUE, COMPLÉMENT, DÉCISION D'IRRECEVABILITÉ, DOMMAGE IRRÉPARABLE | 189 CPP (CH), 393 al. 1 let. a CPP (CH), 394 let. b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Donatsch/Lieber/Summers/Wohlers [éd.], Zürcher Kommentar, Kommentar zur Schweizerischen Strafprozessordnung, 3e éd. 2020, vol. II, n. 16 ad art. 393 CPP ; CREP 4 décembre 2012/739).</w:t>
      </w:r>
    </w:p>
    <w:p>
      <w:r>
        <w:rPr>
          <w:b/>
        </w:rPr>
        <w:t>E. 1.2</w:t>
      </w:r>
    </w:p>
    <w:p>
      <w:r>
        <w:t>Le recours contre les décisions notifiées par écrit ou oralement doit être motivé et adressé par écrit, dans le délai de 10 jours, à l’autorité de recours (art. 396 al. 1 CPP).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points de la décision au sens de l’art. 385 al. 1 let. a CPP correspondent aux conclusions, qui ne peuvent viser que les chiffres du dispositif de la décision attaquée ; les conclusions du recours doivent tendre à la modification, respectivement à l’annulation de l’un ou de plusieurs chiffres du dispositif (Keller, op. cit., n. 13a ad art. 396 CPP ; Sträuli, in Jeanneret/Kuhn/Perrier Depeursinge (éd.), Commentaire romand, Code de procédure pénale suisse (CR CPP), 2e éd. 2019, n. 20 ad art. 396 CPP ; Guidon, in Niggli/Heer/Wiprächtiger (éd.), Basler Kommentar, Schweizerische Strafprozessordnung, 2 e éd. 2014, n. 9b ad art. 396 CPP).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 juin 2016 consid. 3.1 ; Keller, op. cit., n. 14 ad art. 396 CPP et les réf. cit. ; Guidon, op. cit., n. 9c ad art. 396 CPP et les réf. cit. ; Calame, in CR CPP, op. cit., n. 21 ad art. 385 CPP).  Il peut être attendu des personnes ayant des connaissances juridiques, notamment des avocats, qu’ils introduisent des recours en respectant les règles précitées (Keller, op. cit., n. 14 ad art. 396 CPP ; Guidon, op. cit., n. 9e ad art. 396 CPP et les réf. cit.).</w:t>
      </w:r>
    </w:p>
    <w:p>
      <w:r>
        <w:rPr>
          <w:b/>
        </w:rPr>
        <w:t>E. 1.3</w:t>
      </w:r>
    </w:p>
    <w:p>
      <w:r>
        <w:t>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consid. 4; ATF 134 III 188 consid. 2.3; ATF 133 IV 139 consid. 4; TF 1B_428/2017 du 16 octobre 2017 consid. 2.2). Cette règle comporte toutefois des exceptions, notamment lorsque le refus porte sur des moyens de preuve qui risquent de disparaître et qui visent des faits décisifs non encore élucidés (ATF 133 IV 335 consid. 4; ATF 101 Ia 161; TF 1B_428/2017 du 16 octobre 2017 consid. 2.2 ; TF 1B_189/2012 du 17 août 2012 consid. 1.2 ; TF 1B_688/2011 du 14 mars 2012 et les réf. citées ; CREP</w:t>
      </w:r>
    </w:p>
    <w:p>
      <w:r>
        <w:rPr>
          <w:b/>
        </w:rPr>
        <w:t>E. 1.4</w:t>
      </w:r>
    </w:p>
    <w:p>
      <w:r>
        <w:t>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L’art. 189 CPP prévoit ainsi la possibilité de compléter ou de clarifier une expertise. Cependant cela reste une décision d’administrer ou non une preuve. Il en découle que la recevabilité du recours ne peut être admise qu’en cas de préjudice irréparable, en application de l’art. 394 let. b CPP et de la jurisprudence y afférente (CREP 27 novembre 2019/953 ; CREP 6 juin 2014/392).</w:t>
      </w:r>
    </w:p>
    <w:p>
      <w:r>
        <w:rPr>
          <w:b/>
        </w:rPr>
        <w:t>E. 1.5.1</w:t>
      </w:r>
    </w:p>
    <w:p>
      <w:r>
        <w:t>En l’espèce, P.________ a interjeté recours dans le délai légal. En revanche, s’il conteste la décision attaquée, il ne prend aucune conclusion tendant à la réforme de la décision en ce sens qu’un complément d’expertise soit mis en œuvre, ni a fortiori ne précise sur quoi ce complément devrait porter. Dans ces conditions, le recours est irrecevable. De toute manière, même si le recourant avait formulé de telles conclusions, son recours serait irrecevable. En effet, le rejet du procureur se rapporte à la mise en œuvre d’un complément d’expertise psychiatrique ou à une nouvelle expertise psychiatrique concernant l’état de santé psychique du recourant, soit sur un élément qui ne risque pas de disparaître prochainement et dont il n’est pas allégué qu’il serait en train de se modifier ou de s’altérer. Ainsi, P.________, pourrait sans préjudice juridique renouveler sa requête d’administration de preuve devant l’autorité de jugement (art. 318 al. 2, 3 e phr., CPP ; art. 331 CPP) puis, le cas échéant, se plaindre d’un nouveau refus devant l’autorité d’appel (art. 399 al. 3 let. c CPP). En l’état de l’instruction, rien ne permettrait donc de retenir que le refus de la mise en œuvre d’un complément d’expertise ou d’une nouvelle expertise psychiatrique serait de nature à causer un dommage juridique irréparable au prévenu, cette requête pouvant être présentée ultérieurement sans préjudice.</w:t>
      </w:r>
    </w:p>
    <w:p>
      <w:r>
        <w:rPr>
          <w:b/>
        </w:rPr>
        <w:t>E. 1.5.2</w:t>
      </w:r>
    </w:p>
    <w:p>
      <w:r>
        <w:t>En réalité, le recours de P.________ tend à l’obtention d’un délai supplémentaire pour se déterminer avec l’aide d’un nouveau défenseur. Cette question n’a certes pas été tranchée de manière explicite par le Ministère public, mais en refusant d’ordonner une nouvelle expertise ou un complément d’expertise pour le motif notamment que l’intéressé avait déjà été entendu à cinq reprises par les experts, le procureur a implicitement refusé de lui accorder un tel délai. Or les griefs du recourant relatifs au fait que le courrier de son conseil du 30 mars 2021 – par lequel il déclarait ne pas avoir de détermination sur le rapport d’expertise – ne reflétait pas sa volonté, et qu’il n’a pas obtenu une quatrième prolongation pour se déterminer sur le rapport d’expertise du 31 décembre 2021 avant que le Ministère public ne rende la décision attaquée, n’exposent pas en quoi cette absence de prolongation serait susceptible de lui causer un dommage irréparable, ni du reste en quoi elle violerait une quelconque disposition légale. En particulier, le recourant n’expose pas pour quels motifs le Procureur n’était pas en droit de statuer, après lui avoir accordé plusieurs prolongations de délai pour se déterminer et après que le recourant ait déclaré, par son conseil, n’avoir pas de déterminations à déposer. En tant qu’il conclut à l’octroi d’une « prolongation exceptionnelle » dudit délai, le recours est donc également irrecevable (art. 385 al. 1, 384 let. b et 396 al. 1 CPP).</w:t>
      </w:r>
    </w:p>
    <w:p>
      <w:r>
        <w:rPr>
          <w:b/>
        </w:rPr>
        <w:t>E. 1.5.3</w:t>
      </w:r>
    </w:p>
    <w:p>
      <w:r>
        <w:t>Enfin, le recourant conclut dans son acte de recours à l’octroi d’une prolongation de délai mais ne requiert pas la restitution dudit délai de détermination en faisant valoir qu’il a été empêché de l’observer ; il n’a pas non plus saisi le Ministère public mais la Chambre de céans. Il n’y a dès lors pas lieu de transmettre le mémoire de recours au Ministère public pour qu’il statue en application de l’art. 94 CPP.</w:t>
      </w:r>
    </w:p>
    <w:p>
      <w:r>
        <w:rPr>
          <w:b/>
        </w:rPr>
        <w:t>E. 2</w:t>
      </w:r>
    </w:p>
    <w:p>
      <w:r>
        <w:t>Pour toutes ces raisons, le recours interjeté par P.________ doit être déclaré irrecevable sans échange d’écritures (art. 390 al. 2 CPP). Le recourant ayant agi seul, il n’y a pas lieu de statuer sur une éventuelle indemnité d’office. Les frais de la procédure de recours, constitués en l’espèce de l’émolument d'arrêt, par 880 fr. (art. 20 al. 1 TFIP), seront mis à la charge de P.________, qui succombe (art. 428 al. 1 CPP). Par ces motifs, la Chambre des recours pénale prononce : I. Le recours est irrecevable. II. L’ordonnance est confirmée. III. Les frais d’arrêt, par 880 fr., (huit cent huitante francs), sont mis à la charge de P.________. IV. L’arrêt est exécutoire. La présidente :               La greffière : Du Le présent arrêt, dont la rédaction a été approuvée à huis clos, est notifié, par l'envoi d'une copie complète, à : - Me Albert Habib, avocat (pour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