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380 vom 24. Mai 2022</w:t>
      </w:r>
    </w:p>
    <w:p>
      <w:r>
        <w:t>VD Tribunal cantonal, 2022-05-24, FR</w:t>
      </w:r>
    </w:p>
    <w:p>
      <w:r>
        <w:rPr>
          <w:b/>
        </w:rPr>
        <w:t xml:space="preserve">Quelle: </w:t>
      </w:r>
      <w:r>
        <w:t>https://mcp.opencaselaw.ch/entscheid/vd_findinfo_D_cision___2022___380</w:t>
      </w:r>
    </w:p>
    <w:p>
      <w:r>
        <w:t>FR: VD_FINDINFO Décision / 2022 / 380 du 24 mai 2022</w:t>
      </w:r>
    </w:p>
    <w:p>
      <w:r>
        <w:t>IT: VD_FINDINFO Décision / 2022 / 380 del 24 maggio 2022</w:t>
      </w:r>
    </w:p>
    <w:p>
      <w:pPr>
        <w:pStyle w:val="Heading2"/>
      </w:pPr>
      <w:r>
        <w:t>Regeste</w:t>
      </w:r>
    </w:p>
    <w:p>
      <w:r>
        <w:t>DÉTENTION PROVISOIRE, RISQUE DE RÉCIDIVE, RISQUE DE COLLUSION, MESURE DE SUBSTITUTION À LA DÉTENTION | 221 al. 1 let. b CPP (CH), 221 al. 1 let. c CPP (CH), 237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prévenu détenu qui a qualité pour recourir (art. 222 et 382 al. 1 CPP) et dans les formes prescrites (art. 385 al. 1 CPP), le recours est recevable.</w:t>
      </w:r>
    </w:p>
    <w:p>
      <w:r>
        <w:rPr>
          <w:b/>
        </w:rPr>
        <w:t>E. 2</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w:t>
      </w:r>
    </w:p>
    <w:p>
      <w:r>
        <w:rPr>
          <w:b/>
        </w:rPr>
        <w:t>E. 3.1</w:t>
      </w:r>
    </w:p>
    <w:p>
      <w:r>
        <w:t>La mise en détention provisoire n'est possible que s'il existe à l'égard de l'auteur présumé, et préalablement à toute autre cause, de graves soupçons de culpabilité d'avoir commis un crime ou un délit (ATF 139 IV 186 consid. 2; Chaix, in : Jeanneret/Kuhn/Perrier Depeursinge [éd.], Commentaire romand, Code de procé­dure pénale suisse, 2 e éd., Bâle 2019,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ATF 143 IV 316 consid. 3.2; TF 1B_572/2021 du 5 novembre 2021 consid. 2.1; TF 1B_139/2020 du 15 avril 2020 consid. 3.1; TF 1B_219/2019 du 4 juin 2019 consid. 2.1). A l'instar du juge du séquestre, le juge de la détention n'est toutefois pas tenu, à ce stade de la procédure, de résoudre des questions juridiques complexes (ATF 141 IV 360 consid. 3.2;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ATF 124 I 208 consid. 3; TF 1B_308/2018 du 17 juillet 2018 consid. 2.1).</w:t>
      </w:r>
    </w:p>
    <w:p>
      <w:r>
        <w:rPr>
          <w:b/>
        </w:rPr>
        <w:t>E. 3.2</w:t>
      </w:r>
    </w:p>
    <w:p>
      <w:r>
        <w:t>En l’espèce, le recourant conteste d’abord l’existence de tout soup­çon suffisant de commission du crime d’incendie intentionnel. Contrairement à ce que soutient le recourant, il suffit, sous l’angle de l’examen des conditions de la détention provisoire, de constater qu’il existe des indices convergents portant sur cette infraction qui permettent, à ce stade, de fonder des soupçons suffisants. Il ressort en effet du dossier que le prévenu est le seul à s’être approché des cartons qui ont pris feu et qui sont à l’origine de l’incendie. Il s’est certes, comme il l’affirme, écoulé un peu plus de vingt minutes entre le moment où il s’est approché des cartons, puis s’en est allé, et le moment où les lueurs d’incendie ont été visibles. Pour autant, cela ne permet pas d’exclure le rôle du prévenu dans le départ du feu vu la durée présumable de l’extension du brasier, étant rappelé qu’il a été interpellé en possession de trois briquets. Par ailleurs, l’enquête n’est pas suffisamment avancée pour pouvoir exclure un acte intentionnel, même si le prévenu a pu paraître surpris lors de son audition et qu’il a précisé que, s’il était à l’origine de l’incendie, cela ne pouvait être que de la négligence de sa part. Il s’ensuit qu’à ce stade de l’enquête, des soupçons suffisants d’infraction d’incendie intentionnel existent à l’égard du prévenu à raison du départ de feu du 6 mai 2022. A cela s’ajoute, comme déjà indiqué, qu’une importante série d’incendies intentionnels a frappé le centre d’Yverdon-les-Bains du 31 octobre 2021 au 1 er mai 2022, aux mêmes heures de la nuit que dans le cas précité et à proximité des lieux de vie du recourant. Certes, pour ce qui concerne le premier incendie seulement, le recourant était détenu en exécution de peine jusqu’au 1 er novembre 2021 (cf. l’attestation de l’Office d’exécution des peines du 25 mai 2022). Pour les autres cas, ces coïncidences ne manquent pas d’interpeller. Il n’est donc pas exclu que l’enquête soit étendue à ces épisodes. En outre, le prévenu a de nombreux antécédents et il est mis en cause pour avoir asséné un violent coup de poing le 3 avril 2022 à [...], même s’il prétend avoir été provoqué. Dans ces circonstances, des soupçons sérieux d’infractions sont établis. La première condition de l’art. 221 al. 1 CPP est ainsi réalisée.</w:t>
      </w:r>
    </w:p>
    <w:p>
      <w:r>
        <w:rPr>
          <w:b/>
        </w:rPr>
        <w:t>E. 4.1</w:t>
      </w:r>
    </w:p>
    <w:p>
      <w:r>
        <w:t>Le recourant conteste ensuite que les risques de collusion et de réitération soient réalisés.</w:t>
      </w:r>
    </w:p>
    <w:p>
      <w:r>
        <w:rPr>
          <w:b/>
        </w:rPr>
        <w:t>E. 4.2.1</w:t>
      </w:r>
    </w:p>
    <w:p>
      <w:r>
        <w:t>Pour retenir l'existence d'un risque de collusion au sens de l'art. 221 al. 1 let. b CPP,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le mettent en cause. Entrent aussi en considération la nature et l'importance des déclarations, respectivement des moyens de preuves susceptibles d'être menacés, la gravité des infractions en cause et le stade de la procédure (ATF 137 IV 122 consid. 4.2 prévenu. 127 ss; ATF 132 I 21 consid. 3.2 prévenu. 23 ss et les références citées). Plus l'instruction se trouve à un stade avancé et les faits sont établis avec précision, plus les exigences relatives à la preuve de l'existence d'un risque de collusion sont élevées (ATF 137 IV 122 consid. 4.2; ATF 132 I 21 consid. 3.2.2; TF 1B_426/2021 du 27 août 2021 consid. 2.1; TF 1B_414/2021 du 16 août 2021 consid. 5.1).</w:t>
      </w:r>
    </w:p>
    <w:p>
      <w:r>
        <w:rPr>
          <w:b/>
        </w:rPr>
        <w:t>E. 4.2.2</w:t>
      </w:r>
    </w:p>
    <w:p>
      <w:r>
        <w:t>L'art. 221 al. 1 let. c CPP pose trois conditions pour admettre un risque de récidive, soit de réitération.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références).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TF 1B_182/2020 du 4 mai 2020 consid. 5.1).</w:t>
      </w:r>
    </w:p>
    <w:p>
      <w:r>
        <w:rPr>
          <w:b/>
        </w:rPr>
        <w:t>E. 4.3.1</w:t>
      </w:r>
    </w:p>
    <w:p>
      <w:r>
        <w:t>Il est vrai, comme le relève le recourant, que le Ministère public a fondé sa demande de mise en détention sur le risque de fuite et le risque de réitération et que le Tribunal des mesures de contrainte a retenu les risques de collusion et de réitération. Toutefois, ce point n’est pas déterminant, dès lors que le Tribunal des mesures de contrainte est lié par les conclusions du Ministère public, mais pas par les motifs invoqués (ATF 147 IV 336 consid. 2.3 et la jurisprudence citée). Qui plus est, la Chambre de céans examine librement, en fait et en droit, si les conditions de la détention provisoire persistent au moment où elle rend sa décision. Elle dispose à cet égard d’un pouvoir de cognition complet (art. 393 al. 2 CPP). Enfin, le recourant s’est exprimé sur ces trois risques en cause, de sorte que l’on ne voit pas en quoi ses droits auraient pu être touchés. Mal fondé, cet argument doit être rejeté.</w:t>
      </w:r>
    </w:p>
    <w:p>
      <w:r>
        <w:rPr>
          <w:b/>
        </w:rPr>
        <w:t>E. 4.3.2</w:t>
      </w:r>
    </w:p>
    <w:p>
      <w:r>
        <w:t>S’agissant de l’incendie du 6 mai 2022, différentes traces ont été relevées. Toutefois, les autres protagonistes qui étaient avec le prévenu le 6 mai 2022 doivent être entendus. S’agissant des autres incendies survenus entre le 31 octobre 2021 et le 1 er mai 2022 selon le rapport d’investigation, il y a lieu de vérifier si le prévenu est impliqué dans leur commission, hormis, comme déjà relevé, celui du 31 octobre 2021, lors duquel le recourant était détenu. Il doit être précisé que certains incendies sont le fait de plusieurs individus. Partant, il est important d’éviter que le prévenu puisse, le cas échéant, prendre contact avec eux. Par ailleurs, s’agissant des faits du 2 mars 2022, [...], qui était avec [...] lors des faits, ne semble pas avoir encore été entendu, alors même qu’il serait vraisemblablement à même de donner des informations quant au déroulement de l’altercation. En d’autres termes, des nombreuses vérifications doivent encore être entreprises par les enquêteurs. Il est dès lors primordial que le prévenu ne puisse pas interférer dans la recherche de la vérité de quelque manière que ce soit, ce notamment en tentant d’influencer des témoins. Le risque de collusion est donc concret.</w:t>
      </w:r>
    </w:p>
    <w:p>
      <w:r>
        <w:rPr>
          <w:b/>
        </w:rPr>
        <w:t>E. 4.3.3</w:t>
      </w:r>
    </w:p>
    <w:p>
      <w:r>
        <w:t>Malgré son jeune âge, le prévenu a déjà été condamné à trois reprises, pour des infractions diverses et notamment avec violence. En outre, plusieurs autres procédures pénales sont ouvertes contre lui. Le dernier jugement rendu contre lui, ses antécédents et les autres procédures ouvertes contre lui ne l’ont pas empêché de s’en prendre à l’intégrité physique d’autrui, notamment. Il est donc fortement à craindre que, une fois libéré, il s’en prenne aux mêmes biens juridiquement protégés que sont en particulier l’intégrité corporelle, la liberté et la propriété. L’intéressé a en outre donné des renseignements fantaisistes au sujet de ses revenus et de la manière dont il peut s’acheter les stupéfiants qu’il consomme. Dans ces conditions, il est à craindre qu’il se retrouve dans les mêmes conditions (désœuvrement, consommation de produits stupéfiants ou d’alcool, notamment) que celles qui ont mené aux actes qui lui sont reprochés. Enfin, les infractions qui lui sont reprochées dans la présente enquête sont graves et le fait que le prévenu va bientôt être père ne semble pas être de nature à « le calmer » comme il le soutient. Il s’ensuit qu’il existe également un risque de réitération.</w:t>
      </w:r>
    </w:p>
    <w:p>
      <w:r>
        <w:rPr>
          <w:b/>
        </w:rPr>
        <w:t>E. 5.1</w:t>
      </w:r>
    </w:p>
    <w:p>
      <w:r>
        <w:t>Le recourant demande que des mesures de substitution soient prononcées, notamment sous la forme de l’obligation de se présenter régulièrement à un service administratif. Il conteste être une menace concrète pour la sécurité physique d’autrui. Il invoque que sa détention provisoire provoquera des conséquences difficilement réparables pour lui et sa famille, « en particulier sa copine qui est actuellement enceinte »; il serait en outre sur le point de signer un contrat de travail; sa détention interviendrait donc « au pire moment ».</w:t>
      </w:r>
    </w:p>
    <w:p>
      <w:r>
        <w:rPr>
          <w:b/>
        </w:rPr>
        <w:t>E. 5.2</w:t>
      </w:r>
    </w:p>
    <w:p>
      <w:r>
        <w:t>Conformément au principe de la proportionnalité (art. 36 al. 3 Cst. [Constitution fédérale de la Confédération suisse du 18 avril 1999; RS 101];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ATF 133 I 270 consid. 2.2).</w:t>
      </w:r>
    </w:p>
    <w:p>
      <w:r>
        <w:rPr>
          <w:b/>
        </w:rPr>
        <w:t>E. 5.3</w:t>
      </w:r>
    </w:p>
    <w:p>
      <w:r>
        <w:t>Une mesure de substitution selon l’art. 237 CPP sous la forme d’une obligation de se présenter à un office voire à la police, ou le port du bracelet électronique ne permettrait pas de pallier les risques de collusion ou de réitération. En effet, elles ne permettraient que de constater a posteriori que le recourant les aurait transgressées, d’une part; d’autre part, l’obligation de se présenter à un office ou l’interdiction de contacter certaines personnes ne reposeraient que sur la volonté du recourant de s’y soumettre, ce qui ne saurait suffire au vu du peu de respect que l’intéressé a envers les décisions de justice ainsi que les autorités et les fonctionnaires. Du reste, il ne s’est pas présenté à la convocation de la gendarmerie pour être entendu sur les faits du 3 avril 2022. Quant au fait qu’il soit sur le point de conclure un contrat de travail, il ne ressort pas de ses déclarations à la police, qu’il offre comme preuve; il en ressort seulement que, à sa date de son audition, le recourant était en stage depuis deux à trois semaines dans une entreprise multi-services. Enfin, s’il est vrai que le recourant est bien le père de l’enfant à naître de [...] – ce qui ne ressort d’aucune pièce du dossier – , de son propre aveu il ne vit pas avec celle-ci; en outre il ne peut s’en prendre qu’à lui-même si sa détention intervient à ce moment. Partant, les mesures proposées ou d’autres mesures similaires ne seraient pas suffisantes. Enfin, la détention (initiale) a été ordonnée pour un mois, de sorte que la durée de celle-ci est proportionnée selon l’art. 212 al. 3 CPP au vu des infractions envisagées (cf. ATF 143 IV 168 consid. 5.1).</w:t>
      </w:r>
    </w:p>
    <w:p>
      <w:r>
        <w:rPr>
          <w:b/>
        </w:rPr>
        <w:t>E. 6</w:t>
      </w:r>
    </w:p>
    <w:p>
      <w:r>
        <w:t>Il résulte de ce qui précède que le recours, manifestement mal fondé, doit être rejeté, sans échange d’écritures (art. 390 al. 2 CPP), et l’ordonnance du 12 mai 2022 confirmée. La requête tendant à la désignation du représentant du recourant comme défenseur d’office est privée d’objet par l’ordonnance du 20 mai 2022, par laquelle le Ministère public a désigné Me Maxime Darbellay en qualité de défenseur d’office du prévenu. En effet, il suffit à cet égard de relever que la désignation déjà décidée par la Procureure à un stade antérieur de la procédure pénale (soit du prononcé du présent arrêt) déploie ses effets dans la présente procédure de recours (cf. Moreillon/Parein-Reymond, op. cit., n. 2 ad art. 132 CPP; CREP 19 avril 2017/240 consid. 4; CREP 29 août 2016/580 consid. 3, 2 e par. in fine). Les frais de la procédure de recours, par 1'320 fr. (art. 20 al. 1 TFIP [tarif des frais de procédure et indemnités en matière pénale du 28 septembre 2010; BLV 312.03.1]), ainsi que les frais imputables à la défense d’office (art. 422 al. 1 et 2 let. a CPP), fixés à 594 fr. en chiffres arrondis, qui comprennent des honoraires par 540 fr., pour trois heures d’activité nécessaire d’avocat, au tarif horaire de 180 fr., des débours forfaitaires par 10 fr. 80 (cf. art. 26b TFIP qui renvoie à l'art. 3 bis RAJ [règlement sur l’assistance judiciaire en matière civile du 7 décembre 2010; BLV 211.02.3])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12 mai 2022 est confirmée. III. L’indemnité allouée au défenseur d’office de N.________ est fixée à 594 fr. (cinq cent nonante-quatre francs). IV. Les frais d’arrêt, par 1'320 fr. (mille trois cent vingt francs), ainsi que l’indemnité due au défenseur d’office de N.________, par 594 fr. (cinq cent nonante-quatre francs), sont mis à la charge de ce dernier. V. Le remboursement à l'Etat de l'indemnité allouée au chiffre III ci-dessus ne sera exigible que pour autant que la situation financière de N.________ le permette. VI. L’arrêt est exécutoire. La présidente :               Le greffier : Du Le présent arrêt, dont la rédaction a été approuvée à huis clos, est notifié, par l'envoi d'une copie complète, à : - Me Maxime Darbellay, avocat (pour N.________),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