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373 vom 18. Mai 2022</w:t>
      </w:r>
    </w:p>
    <w:p>
      <w:r>
        <w:t>VD Tribunal cantonal, 2022-05-18, FR</w:t>
      </w:r>
    </w:p>
    <w:p>
      <w:r>
        <w:rPr>
          <w:b/>
        </w:rPr>
        <w:t xml:space="preserve">Quelle: </w:t>
      </w:r>
      <w:r>
        <w:t>https://mcp.opencaselaw.ch/entscheid/vd_findinfo_D_cision___2022___373</w:t>
      </w:r>
    </w:p>
    <w:p>
      <w:r>
        <w:t>FR: VD_FINDINFO Décision / 2022 / 373 du 18 mai 2022</w:t>
      </w:r>
    </w:p>
    <w:p>
      <w:r>
        <w:t>IT: VD_FINDINFO Décision / 2022 / 373 del 18 maggio 2022</w:t>
      </w:r>
    </w:p>
    <w:p>
      <w:pPr>
        <w:pStyle w:val="Heading2"/>
      </w:pPr>
      <w:r>
        <w:t>Regeste</w:t>
      </w:r>
    </w:p>
    <w:p>
      <w:r>
        <w:t>ORDONNANCE DE NON-ENTRÉE EN MATIÈRE, VOL{DROIT PÉNAL}, REJET DE LA DEMANDE | 179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de S.________ est recevable. En revanche, ses courriers subséquents, déposés après l’échéance du délai de recours, sont tardifs et, partant, irrecevables.</w:t>
      </w:r>
    </w:p>
    <w:p>
      <w:r>
        <w:rPr>
          <w:b/>
        </w:rPr>
        <w:t>E. 2.1</w:t>
      </w:r>
    </w:p>
    <w:p>
      <w:r>
        <w:t>Le recourant soutient que les actes dénoncés dans sa plainte sont constitutifs de vol et justifient l’ouverture d’une instruction pénale. Il invoque qu’il est plus que probable que le courrier en cause a été soustrait, à l’adresse de son ancien domicile familial et non au motel puisqu’il n’avait alors pas encore changé son adresse ; il invoque en outre que, dans le cadre de la procédure de mesures protectrices de l’union conjugale qui le divise de son épouse, le juge en charge de cette procédure n’aurait pas fait figurer la « condamnation du 19 mars 2021 » dans sa décision ; il fait au surplus valoir que l’extrait des poursuites dont son assistant social avait requis la production dans le cadre de sa recherche de logement ne contient aucune inscription au sujet de cette « condamnation ». Il en conclut que son avocat au civil (Me [...]) et son assistant social ([...]) devaient être entendus en qualité de témoins, comme son épouse, qu’il n’a pas eu connaissance de la « condamnation du 19 mars 2021 pour recourir contre cette décision » et que son épouse a un intérêt financier s’il est en détention car la pension alimentaire qu’elle lui paie diminue. Il ajoute que le fait qu’il souffre d’une maladie n’implique pas qu’il ne puisse pas être victime d’une infraction. Il estime enfin qu’il existe une inégalité de traitement avec son épouse car, dès que celle-ci a déposé plainte contre lui pour vol, le Ministère public a ouvert une instruction.</w:t>
      </w:r>
    </w:p>
    <w:p>
      <w:r>
        <w:rPr>
          <w:b/>
        </w:rPr>
        <w:t>E. 2.2.1</w:t>
      </w:r>
    </w:p>
    <w:p>
      <w:r>
        <w:t>Conformément à l'art. 310 al. 1 let. a CPP, le ministère public rend immédiatement – c'est-à-dire sans qu'une instruction soit ouverte (art. 309 al. 1 et 4 CPP ; TF 1B_111/2012 du 5 avril 2012 consid. 2.1 ; Grodecki/Cornu, in : Jeanneret/ Kuhn/Perrier Depeursinge [éd.], Commentaire romand, Code de procédure pénale suisse, 2 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Cette disposition doit être appliquée conformément à l'adage in dubio pro duriore , qui découle du principe de la légalité (art. 5 al. 1 Cst. [Constitution fédérale de la Confédération suisse du 18 avril 1999 ; RS 101] et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JdT 2020 IV 256).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 citées).</w:t>
      </w:r>
    </w:p>
    <w:p>
      <w:r>
        <w:rPr>
          <w:b/>
        </w:rPr>
        <w:t>E. 2.2.2</w:t>
      </w:r>
    </w:p>
    <w:p>
      <w:r>
        <w:t>Aux termes de l’art. 179 CP,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 Bien que cela ne résulte pas expressément du texte légal, la doctrine majoritaire semble retenir que les faits visés par l’al. 2 de l’art. 179 CP doivent être confidentiels. La notion de confidentialité n’est en revanche pas nécessaire dans l’hypothèse où l’auteur aura tiré profit de l’information, le comportement incriminé consistant à tirer avantage de cette information (Henzelin/Massrouri, in : Macaluso/Moreillon/Queloz [éd.], Commentaire romand, Code pénal II, Bâle 2017, n. 30 ad art. 179 CP). S’agissant de l’al. 2 de l’art. 179 CP, la mise à profit peut consister dans le fait de réunir des preuves dans le cadre d’un procès (ATF 88 IV 148, consid. 3, let. a, JdT 1962 IV 139 ; Henzelin/Massrouri, op. cit., n. 30 ad art. 179 CP).</w:t>
      </w:r>
    </w:p>
    <w:p>
      <w:r>
        <w:rPr>
          <w:b/>
        </w:rPr>
        <w:t>E. 2.3</w:t>
      </w:r>
    </w:p>
    <w:p>
      <w:r>
        <w:t>En l’espèce, c’est à raison que le Ministère public a retenu que le recourant n’avait pas apporté d’indices suffisants de la commission d’une infraction pénale justifiant l’ouverture d’une enquête pénale. S’agissant du courrier de son avocat, distribué par erreur le 11 janvier 2022 à un codétenu qui l’avait ouvert, le recourant ne revient pas sur l’appréciation de la procureure qui exclut la réalisation de l’infraction visée à l’art. 179 CP au motif qu’il n’y avait pas eu d’intention de voler le courrier mais une simple négligence, qui n’est pas punissable. En outre, concernant l’envoi de l’ordonnance pénale du 19 mars 2021 relative à l’affaire enregistrée sous PE21.003374, c’est à tort que le recourant affirme ne pas l’avoir reçue, accusant son épouse de l’avoir réceptionnée à sa place et de ne pas la lui avoir transmise. En effet, il ressort du dossier transmis par le Ministère public, que cette ordonnance pénale a bien été notifiée au domicile du recourant, à l’avenue [...] à [...] et qu’il s’y est opposé par courrier du 25 mars 2021. Il a ainsi pu prendre connaissance de cette ordonnance et exercer ses droits de prévenu. Quant au jugement du 22 juin 2021, il a été notifié à son avocat d’alors (Me Lionel Zeiter). Dans ces conditions, la commission d’une infraction peut être exclue. Quant aux arguments du recourant, ils ne sont pas susceptibles de conduire à une autre conclusion, le contenu d’un jugement civil ou d’un extrait du registre des poursuites étant sans portée sur le fait que, contrairement à ce qu’il prétend, il a pris connaissance de l’ordonnance de condamnation envoyée pour notification à son adresse et, même, formé opposition contre celle-ci. Ses offres de preuve ne sont donc pas pertinentes.</w:t>
      </w:r>
    </w:p>
    <w:p>
      <w:r>
        <w:rPr>
          <w:b/>
        </w:rPr>
        <w:t>E. 3</w:t>
      </w:r>
    </w:p>
    <w:p>
      <w:r>
        <w:t>En définitive, il résulte de ce qui précède que le recours, manifestement mal fondé, doit être rejeté sans échange d’écritures (art. 390 al. 2 CPP) et l’ordonnance de non-entrée en matière du 17 janvier 2022 confirmée. La requête d’assistance judiciaire pour la procédure de recours sera rejetée, le recours étant dépourvu de chance de succès et le recourant ne faisant valoir au demeurant aucune conclusion civile (art. 136 al. 1 CPP et TF 6B_359/2020 du 11 août 2020 consid. 3.3.1).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1 re phrase, CPP). Les frais d’arrêt seront compensés à due concurrence avec le montant des sûretés de 550 fr. déjà versé par le recourant, le solde de 220 fr. restant à sa charge (art. 7 TFIP). Par ces motifs, la Chambre des recours pénale prononce : I. Le recours est rejeté. II. L'ordonnance du 17 janvier 2022 est confirmée. III. La requête d’assistance judiciaire est rejetée . IV. Les frais d'arrêt, par 770 fr. (sept cent septante francs), sont mis à la charge de S.________. V. Le montant de 550 fr. (cinq cent cinquante francs) versé par S.________ à titre de sûretés est imputé sur les frais mis à sa charge au chiffre III ci-dessus, le solde dû s’élevant à 220 fr. (deux cent vingt francs). VI. L’arrêt est exécutoire. La présidente :               La greffière : Du Le présent arrêt, dont la rédaction a été approuvée à huis clos, est notifié, par l'envoi d'une copie complète, à : - S.________,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