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363 vom 13. Mai 2022</w:t>
      </w:r>
    </w:p>
    <w:p>
      <w:r>
        <w:t>VD Tribunal cantonal, 2022-05-13, FR</w:t>
      </w:r>
    </w:p>
    <w:p>
      <w:r>
        <w:rPr>
          <w:b/>
        </w:rPr>
        <w:t xml:space="preserve">Quelle: </w:t>
      </w:r>
      <w:r>
        <w:t>https://mcp.opencaselaw.ch/entscheid/vd_findinfo_D_cision___2022___363</w:t>
      </w:r>
    </w:p>
    <w:p>
      <w:r>
        <w:t>FR: VD_FINDINFO Décision / 2022 / 363 du 13 mai 2022</w:t>
      </w:r>
    </w:p>
    <w:p>
      <w:r>
        <w:t>IT: VD_FINDINFO Décision / 2022 / 363 del 13 maggio 2022</w:t>
      </w:r>
    </w:p>
    <w:p>
      <w:pPr>
        <w:pStyle w:val="Heading2"/>
      </w:pPr>
      <w:r>
        <w:t>Regeste</w:t>
      </w:r>
    </w:p>
    <w:p>
      <w:r>
        <w:t>DÉTENTION PROVISOIRE, RISQUE DE FUITE, RISQUE DE COLLUSION, DROIT D'ÊTRE ENTENDU, PROPORTIONNALITÉ, MESURE DE SUBSTITUTION À LA DÉTENTION | 29 al. 2 Cst., 212 al. 3 CPP (CH), 221 al. 1 let. a CPP (CH), 221 al. 1 let. b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A.T.________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invoque en premier lieu un défaut de motivation de l'ordonnance entreprise et donc une violation de son droit d'être entendu. Il prétend que l'autorité s'est contentée de suivre les explications, de surcroit sommaires, du Ministère public, qu'elle n'a pas tenu compte de ses arguments et qu'elle s'est dérobée à une analyse concrète de la situation.</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143 IV 40 consid. 3.4.3 ; ATF 142 I 135 consid. 2.1).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aux questions décisives (ATF 143 III 65 précité ; ATF 142 III 433 consid. 4.3.2 ; TF 6B_946/2018 du 15 novembre 2018 consid. 1.1). La motivation peut d'ailleurs être implicite et résulter des différents considérants de la décision (ATF 141 V 557 consid. 3.2.1 ; TF 6B_817/2020 du 23 décembre 2020 consid. 1.2).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389 al. 3 et 391 al. 1 CPP ; CREP 29 avril 2021/174 ; CREP 19 mai 2020/378 ; CREP 20 août 2013/530).</w:t>
      </w:r>
    </w:p>
    <w:p>
      <w:r>
        <w:rPr>
          <w:b/>
        </w:rPr>
        <w:t>E. 3.3</w:t>
      </w:r>
    </w:p>
    <w:p>
      <w:r>
        <w:t>En l’espèce, c’est à tort que le recourant soutient que son droit d’être entendu a été violé. Tout d'abord, le Tribunal des mesures de contrainte a mentionné et pris en considération l'entier des faits qui lui sont reprochés. Ensuite, s'il a effectivement fait état des arguments du Ministère public, il en a fait de même avec ceux du prévenu. L'autorité a également développé les motifs sur lesquels elle a fondé sa décision et pour lesquels elle estimait qu'il existait des soupçons suffisants de commission d'une infraction par A.T.________ et que les risques de fuite ainsi que de collusion étaient concrets. A cet égard, le fait qu'elle ait pris appui sur la demande du Ministère public ne saurait être critiquable, si les arguments présentés par celui-ci étaient convaincants. De plus, l'ordonnance était suffisamment motivée pour que le recourant puisse la contester. Par surabondance, compte tenu du pouvoir d'examen de la Cour de céans, un éventuel défaut de motivation aurait pu dans le cas d'espèce être réparé en recours. Pour ces motifs, le grief de violation du droit d'être entendu de A.T.________ doit être rejeté.</w:t>
      </w:r>
    </w:p>
    <w:p>
      <w:r>
        <w:rPr>
          <w:b/>
        </w:rPr>
        <w:t>E. 4.1</w:t>
      </w:r>
    </w:p>
    <w:p>
      <w:r>
        <w:t>S'agissant des soupçons suffisants de commission d'une infraction, la motivation du recourant est quelque peu confuse. Son recours est en effet contradictoire, dans la mesure où il commence par développer une série de considérations tendant à mettre en doute, selon lui, l’existence de soupçons suffisants, à savoir que ceux-ci sont fondés uniquement sur des déclarations non-étayées et que le contexte conflictuel entre les parents ainsi que le rapport de la curatrice de surveillance des relations personnelles des enfants n'ont pas été pris en considération [pt. 2.2.1 ch. 1 à 10], pour finalement admettre que les accusations dont il fait l’objet sont particulièrement graves et pourraient fonder des doutes suffisants à ce stade de l’enquête pour les autorités pénales (pt. 2.2.1 ch. 11). Plus loin dans son écriture, il admet même sans équivoque l'existence de soupçons suffisants (pt. 2.2.1 ch. 18). Dès lors, le recourant ne paraît pas véritablement contester l’existence de soupçons suffisants justifiant sa mise en détention. Ce point sera toutefois tout de même examiné par la Cour de céans.</w:t>
      </w:r>
    </w:p>
    <w:p>
      <w:r>
        <w:rPr>
          <w:b/>
        </w:rPr>
        <w:t>E. 4.2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al. 1 CPP, le juge de la détention doit examiner la qualification juridique des faits prima facie, sous l'angle de la simple vraisemblance (ATF 137 IV 122 consid. 3.2 ; TF 1B_22/2016 du 2 février 2016 consid. 2.3).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316 consid. 3.1 ; ATF 137 IV 122 précité ; ATF 124 I 208 consid. 3 ; TF 1B_131/2022 du 25 mars 2022 consid. 3.1).</w:t>
      </w:r>
    </w:p>
    <w:p>
      <w:r>
        <w:rPr>
          <w:b/>
        </w:rPr>
        <w:t>E. 4.3</w:t>
      </w:r>
    </w:p>
    <w:p>
      <w:r>
        <w:t>En l'espèce, les déclarations des jeunes filles, qui ont osé parler et faire état d'actes particulièrement graves, sont des éléments suffisants, d'autant plus que, comme l'a relevé à juste titre le Tribunal des mesures de contrainte, celles-ci sont circonstanciées et détaillées. Les explications données par le prévenu, le contexte conflictuel entre les parents et le rapport de la curatrice de surveillance des relations personnelles des enfants n'y changent rien. Ces éléments ne permettent pas de conclure qu'elles ont menti et, à ce stade, rien d’autre ne vient mettre en doute la crédibilité de leurs déclarations. A cet égard, on rappellera que le Tribunal des mesures de contrainte et la Chambre des recours pénale ne doivent examiner la problématique des soupçons suffisants qu'au stade de la vraisemblance, seul le juge du fond étant compétent pour procéder à une pesée complète des éléments à charge et à décharge. A ce stade de la procédure, il ne s'agit donc pas d'apporter une preuve absolue. Il en découle que le fait que les déclarations en cause ne soient, en l'état, pas étayées par d'autres preuves n'est pas déterminant. Pour ces motifs, il faut retenir qu'il existe à ce stade de forts soupçons de commission de crimes ou délits à l'encontre du prévenu.</w:t>
      </w:r>
    </w:p>
    <w:p>
      <w:r>
        <w:rPr>
          <w:b/>
        </w:rPr>
        <w:t>E. 5.1</w:t>
      </w:r>
    </w:p>
    <w:p>
      <w:r>
        <w:t>Pour ce qui est du risque de collusion, dans une motivation à nouveau peu claire, le recourant tente dans un premier temps de mettre en doute sa réalisation, en relevant que l'autorité n'a pas démontré en quoi le risque serait concret mais a uniquement retenu un risque purement théorique et inhérent à toute enquête (ch. 12 à 17), pour finalement admettre, sous ch. 17, qu’à ce stade de l’enquête, il est réalisé en ce qui concerne l’audition du dénommé « E.________ ». Plus loin dans son recours, à nouveau au chiffre 18, le prévenu admet même sans réserve l'existence d'un prétendu risque de collusion à ce stade. Cette condition, qui ne semble dès lors pas contestée par le recourant, sera néanmoins abordée par la Cour de céans au vu du caractère confus du recours.</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[édit.],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 En tout état de cause, plus l'instruction, respectivement la procédure pénale, se trouve à un stade avancé et les faits sont établis avec précision, plus les exigences relatives à la preuve de l'existence d'un risque - concret - de collusion sont élevées (ATF 137 IV 122 consid. 4.2 ; ATF 132 I 21 consid. 3.2.2 ; TF 1B_50/2019 du 19 février 2019 consid. 2.4 ; TF 1B_383/2021 op. cit. consid. 3.1).</w:t>
      </w:r>
    </w:p>
    <w:p>
      <w:r>
        <w:rPr>
          <w:b/>
        </w:rPr>
        <w:t>E. 5.3</w:t>
      </w:r>
    </w:p>
    <w:p>
      <w:r>
        <w:t>En l'espèce, c'est à juste titre que le Tribunal des mesures de contrainte a retenu que le risque de collusion était concret. En effet, des mesures d’instruction doivent encore être mises en œuvre, soit en particulier l’audition du dénommé « E.________ » et celle d’autres personnes pouvant apporter des éléments utiles à l'enquête. Or, il y a lieu d'éviter que le recourant puisse entrer en contact avec toutes ces personnes pour tenter d’influencer leurs déclarations et donc l’enquête. La gravité des faits qui lui sont reprochés et l'importance de ces auditions pour la recherche de la vérité imposent une grande prudence.</w:t>
      </w:r>
    </w:p>
    <w:p>
      <w:r>
        <w:rPr>
          <w:b/>
        </w:rPr>
        <w:t>E. 6.1</w:t>
      </w:r>
    </w:p>
    <w:p>
      <w:r>
        <w:t>Le recourant conteste ensuite clairement que le risque de fuite soit concret. Il fait grief au Tribunal des mesures de contrainte de ne pas avoir pris en compte une série de circonstances, soit qu'il n'a pas de moyens pour fuir à l'étranger, qu'il ne peut se rendre en Iran, qu'il est en couple avec une femme, qu'il y a en Suisse des membres de sa communauté religieuse, pour laquelle il est enseignant, que des membres de sa famille résident dans ce pays, qu'il fait l'objet d'une instruction pour viol depuis un an et demi et qu'il n'a jamais tenté de se soustraire à la justice, notamment lorsqu'il a eu connaissance de la dénonciation de la DGEJ et des déclarations de ses filles. En outre, il invoque qu'il n'a pas été arrêté tout de suite après l'audition de C.T.________, mais plus de deux semaines après.</w:t>
      </w:r>
    </w:p>
    <w:p>
      <w:r>
        <w:rPr>
          <w:b/>
        </w:rPr>
        <w:t>E. 6.2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 TF 1B_124/2021 du 12 avril 2021 consid. 5 ; TF 1B_549/2020 du 9 novembre 2020 consid. 3.1). Le risque de fuite s'étend également au risque de se soustraire à la procédure pénale ou à la sanction prévisible en tombant dans la clandestinité à l'intérieur du pays (ATF 143 IV 160 consid. 4.3; TF 1B_549/2020 du 9 novembre 2020).</w:t>
      </w:r>
    </w:p>
    <w:p>
      <w:r>
        <w:rPr>
          <w:b/>
        </w:rPr>
        <w:t>E. 6.3</w:t>
      </w:r>
    </w:p>
    <w:p>
      <w:r>
        <w:t>En l'espèce, à nouveau, la motivation du Tribunal des mesures de contrainte peut être suivie. Le prévenu est ressortissant d'Iran et il n'est titulaire que d'un permis F en Suisse, pays dans lequel il n'a pas de réelles attaches fortes. A cet égard, la présence de son amie en Suisse ne constitue pas réellement un obstacle à sa fuite, d'autant plus qu'ils ne vivent pas ensemble et que leur relation n'a pas toujours été stable puisqu'ils ont été séparés entre le début de l'année 2021 et, à tout le moins, le mois d'août 2021. Le fait que certains membres de sa famille vivent en Suisse n'est pas non plus un garde-fou, puisque le recourant n'a plus aucun lien avec sa femme et deux de ses filles, qui ne veulent plus le voir, son espoir de reprise de contact n'y changeant rien, et qu'en l'état, il ne peut plus non plus voir sa fille cadette, avec laquelle les relations risquent d'ailleurs d'être compliquées suivant l'issue de la procédure pénale. On relèvera en outre qu'il n'est pas nécessaire que A.T.________ ait des moyens administratifs ou financiers conséquents pour fuir à l'étranger ou entrer dans la clandestinité et qu'il pourrait se faire prêter de l'argent si besoin. Par ailleurs, il pourrait partir dans un autre pays que l'Iran, dans lequel il trouverait d'autres membres de sa communauté religieuse, la Suisse n'étant certainement pas le seul pays où ils résident. La durée entre l'audition de C.T.________ et son arrestation est quant à elle sans pertinence et le fait que le prévenu n’ait pas fui jusqu’à ce jour-là ne lui est d’aucun secours. Même s'il faisait déjà l'objet d'une procédure pénale pour viol depuis un certain temps, les nouvelles charges contre lui ont considérablement alourdi sa situation. Il y a donc fort à craindre qu’en cas de relaxe, le recourant ne tente de fuir à l’étranger ou de tomber dans la clandestinité pour se soustraire à l’enquête pénale et à la peine privative de liberté à laquelle il est exposé au vu de la gravité des faits qui lui sont reprochés, étant rappelé qu’à ce stade, il est présumé innocent. Le risque de collusion est donc présent.</w:t>
      </w:r>
    </w:p>
    <w:p>
      <w:r>
        <w:rPr>
          <w:b/>
        </w:rPr>
        <w:t>E. 7</w:t>
      </w:r>
    </w:p>
    <w:p>
      <w:r>
        <w:t>Les motifs de la détention provisoire étant alternatifs, il n'y a pas lieu d'examiner si le risque de réitération est réalisé.</w:t>
      </w:r>
    </w:p>
    <w:p>
      <w:r>
        <w:rPr>
          <w:b/>
        </w:rPr>
        <w:t>E. 8.1</w:t>
      </w:r>
    </w:p>
    <w:p>
      <w:r>
        <w:t>Le recourant requiert de pouvoir bénéficier de mesures de substitution. Il ne propose toutefois aucune mesure concrète, hormis dans ses conclusions.</w:t>
      </w:r>
    </w:p>
    <w:p>
      <w:r>
        <w:rPr>
          <w:b/>
        </w:rPr>
        <w:t>E. 8.2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8.3</w:t>
      </w:r>
    </w:p>
    <w:p>
      <w:r>
        <w:t>En l'espèce, il ne serait pas possible de parer au risque de collusion retenu, le respect de l’interdiction faite au recourant d’entrer en contact avec des tiers ne dépendant que de son bon vouloir et son contrôle ne pouvant être effectué qu’a posteriori. Il en va de même s’agissant du risque de fuite, le dépôt de son permis n’étant pas de nature à l’empêcher de fuir à l’étranger ou de tomber dans la clandestinité.</w:t>
      </w:r>
    </w:p>
    <w:p>
      <w:r>
        <w:rPr>
          <w:b/>
        </w:rPr>
        <w:t>E. 9.1</w:t>
      </w:r>
    </w:p>
    <w:p>
      <w:r>
        <w:t>Le recourant conclut à ce que sa détention provisoire soit prononcée pour une durée de moins de trois mois. Il ne relève cependant pas que cette durée ne respecterait pas le principe de la proportionnalité.</w:t>
      </w:r>
    </w:p>
    <w:p>
      <w:r>
        <w:rPr>
          <w:b/>
        </w:rPr>
        <w:t>E. 9.2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9.3</w:t>
      </w:r>
    </w:p>
    <w:p>
      <w:r>
        <w:t>En l'espèce, au vu des charges qui pèsent contre le recourant et de la peine encourue, la durée de la détention, en l'état de trois mois, soit jusqu'au 27 juillet 2022, est totalement proportionnée.</w:t>
      </w:r>
    </w:p>
    <w:p>
      <w:r>
        <w:rPr>
          <w:b/>
        </w:rPr>
        <w:t>E. 10</w:t>
      </w:r>
    </w:p>
    <w:p>
      <w:r>
        <w:t>Au vu de ce qui précède, le recours, manifestement mal fondé, doit être rejeté sans échange d'écritures (art. 390 al. 2 CPP) et l'ordonnance entreprise confirmée. L’indemnité allouée au défenseur d’office de A.T.________ sera fixée, en l'absence de liste d'opérations produite avec le recours (TPF BB.2019.183 du 7 novembre 2019), en tenant compte d’une activité nécessaire d'avocat estimée à 3 heures d'avocat stagiaire au tarif horaire de 110 fr. et d'une heure d'avocat breveté au tarif horaire de 180 fr. (art. 2 al. 1 let. a, b et 3 al. 2 RAJ [Règlement sur l'assistance judiciaire en matière civile du 7 décembre 2010 ; BLV 211.02.3] par renvoi de l'art. 26b TFIP [Tarif des frais de procédure et indemnités en matière pénale du 28 septembre 2010 ; BLV 312.03.1]), à 510 francs. En effet, même s'il comporte de nombreuses pages, ce recours compte de nombreux paragraphes inutiles (par exemple l'exposé des faits dont on ne discerne pas en quoi il serait un « moyen » comme invoqué en préambule), des contradictions intrinsèques importantes relevées plus haut ainsi que des lacunes de motivation (par exemple sur les mesures de substitution figurant dans les conclusions qui ne sont pas étayées). A ce montant s'ajoutent 2% de débours forfaitaires (art. 2 al. 1 let. a et 3bis RAJ, applicables par renvoi de l'art. 26b TFIP), par 10 fr. 20, et la TVA à 7,7%, par 40 fr. 05, soit à 561 fr. au total en chiffres arrondis. Les frais de la procédure de recours, constitués en l'espèce de l'émolument d'arrêt (art. 422 al. 1 CPP), par 1'870 fr. (art. 20 al. 1 TFIP), et des frais imputables à la défense d'office (art. 422 al. 1 et 2 let. a CPP), par 561 fr., seront mis à la charge de A.T.________,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29 avril 2022 est confirmée. III. L’indemnité allouée à Me Pascal Nicollier, défenseur d’office de A.T.________, est fixée à 561 fr. (cinq cent soixante et un francs). IV. Les frais d'arrêt, par 1'870 fr. (mille huit cent septante francs), ainsi que l'indemnité allouée au défenseur d'office du recourant, par 561 fr. (cinq cent soixante et un francs), sont mis à la charge de A.T.________. V. Le remboursement à l'Etat de l'indemnité allouée au chiffre III ci-dessus ne sera exigible que pour autant que la situation financière de A.T.________ le permette. VI. L’arrêt est exécutoire. La présidente :               La greffière : Du Le présent arrêt, dont la rédaction a été approuvée à huis clos, est notifié, par l'envoi d'une copie complète, à : - Me Pascal Nicollier, avocat (pour A.T.________), - Ministère public central, et communiqué à : - Mme la Présidente du Tribunal des mesures de contrainte, - Mme la Procureure de l'arrondissement de Lausanne, - Service de la population, par l’envoi de photocopies. En application de l'art. 214 al. 4 CPP, le dispositif de la présente ordonnance est communiqué par courrier séparé aux victimes suivantes : - Me Loïc Parein, avocat (pour C.T.________), - Mme B.T.________.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