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343 vom 10. Mai 2022</w:t>
      </w:r>
    </w:p>
    <w:p>
      <w:r>
        <w:t>VD Tribunal cantonal, 2022-05-10, FR</w:t>
      </w:r>
    </w:p>
    <w:p>
      <w:r>
        <w:rPr>
          <w:b/>
        </w:rPr>
        <w:t xml:space="preserve">Quelle: </w:t>
      </w:r>
      <w:r>
        <w:t>https://mcp.opencaselaw.ch/entscheid/vd_findinfo_D_cision___2022___343</w:t>
      </w:r>
    </w:p>
    <w:p>
      <w:r>
        <w:t>FR: VD_FINDINFO Décision / 2022 / 343 du 10 mai 2022</w:t>
      </w:r>
    </w:p>
    <w:p>
      <w:r>
        <w:t>IT: VD_FINDINFO Décision / 2022 / 343 del 10 maggio 2022</w:t>
      </w:r>
    </w:p>
    <w:p>
      <w:pPr>
        <w:pStyle w:val="Heading2"/>
      </w:pPr>
      <w:r>
        <w:t>Regeste</w:t>
      </w:r>
    </w:p>
    <w:p>
      <w:r>
        <w:t>DÉTENTION PROVISOIRE, RISQUE DE RÉCIDIVE, PROPORTIONNALITÉ, EXPERTISE PSYCHIATRIQUE | 221 al. 1 let. c CPP (CH), 237 CPP (CH), 5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e éd., Bâle 2016, n. 31 ad art. 393 CPP). Cette disposition impose à l'autorité de recours de substituer sa propre appréciation des preuves à celle de l'autorité précédente, respectivement d'établir elle-même les faits pertinents (Sträuli, in : Jeanneret/Kuhn/Perrier Depeursinge [éd.], Commentaire romand, Code de procédure pénale suisse, 2 e éd., Bâle 2019, n. 80 ad art. 393 CPP).</w:t>
      </w:r>
    </w:p>
    <w:p>
      <w:r>
        <w:rPr>
          <w:b/>
        </w:rPr>
        <w:t>E. 2.1</w:t>
      </w:r>
    </w:p>
    <w:p>
      <w:r>
        <w:t>Dans un premier grief, le recourant invoque une constatation incomplète des faits dès lors que le tribunal a statué sans prendre en compte, d’une part, la lettre de ses parents craignant pour lui et, d’autre part, le fait qu’il a appelé le psychiatre d’urgence dans ses premiers jours de détention.</w:t>
      </w:r>
    </w:p>
    <w:p>
      <w:r>
        <w:rPr>
          <w:b/>
        </w:rPr>
        <w:t>E. 2.2</w:t>
      </w:r>
    </w:p>
    <w:p>
      <w:r>
        <w:t>Aux termes de l'art. 393 al. 2 let. b CPP, le recours peut être formé pour constatation incomplète ou erronée des faits. La constatation des faits est incomplète lorsque des faits pourtant pertinents et évoqués par les parties ne figurent pas au dossier (Moreillon/Parein-Reymond, Petit commentaire du Code de procédure pénale,</w:t>
      </w:r>
    </w:p>
    <w:p>
      <w:r>
        <w:rPr>
          <w:b/>
        </w:rPr>
        <w:t>E. 2.3</w:t>
      </w:r>
    </w:p>
    <w:p>
      <w:r>
        <w:t>En l’espèce, contrairement à ce prétend le recourant, le fait qu’il aurait appelé le psychiatre d’urgence après seulement quelques jours passés dans la zone carcérale n’est pas déterminant en soi, dès lors que sa situation psychologique est connue, une expertise psychiatrique étant d’ailleurs en cours, et que le tribunal a fait état du rapport médical du 29 avril 2022 produit par l’intéressé (ordonnance, pp. 2 et 5). Quant à la lettre de ses parents du 29 avril 2022, produite lors de l’audience du premier juge et à laquelle ce dernier fait référence en page 2 de l’ordonnance, on ne voit pas en quoi elle serait pertinente au point de vue médical ; le recourant ne l’indique d’ailleurs pas. Il n’y a dès lors pas lieu de compléter l’état de fait dans le sens voulu par le recourant.</w:t>
      </w:r>
    </w:p>
    <w:p>
      <w:r>
        <w:rPr>
          <w:b/>
        </w:rPr>
        <w:t>E. 3.1</w:t>
      </w:r>
    </w:p>
    <w:p>
      <w:r>
        <w:t>Le recourant ne conteste pas qu’il y a des indices suffisants de commission d’une infraction, et ce à juste titre, au vu des éléments figurant au dossier, en particulier des déclarations de l’intéressé, qui a reconnu avoir mis le feu à des poubelles à sept reprises entre la fin du mois de mars et le 22 avril 2022. Il conteste en revanche le risque de réitération et, partant, invoque une violation de l’art. 221 al. 1 let. c CPP.</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1B_88/2022 précité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1B_88/2022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 TF 1B_88/2022 précité).</w:t>
      </w:r>
    </w:p>
    <w:p>
      <w:r>
        <w:rPr>
          <w:b/>
        </w:rPr>
        <w:t>E. 3.3</w:t>
      </w:r>
    </w:p>
    <w:p>
      <w:r>
        <w:t>En l’espèce, les faits reprochés au recourant – et non contestés – sont graves. Celui-ci a en effet admis avoir mis le feu à sept reprises entre fin mars et le 22 avril 2022. On relèvera que les six premiers cas se situaient à l’extérieur, dans la rue, alors que le 22 avril 2022, il a mis le feu à une poubelle située dans les toilettes d’un bâtiment. Ce dernier cas est d’autant plus grave qu’il a admis, devant le premier juge, qu’il avait conscience du fait qu’il pouvait mettre en danger des personnes (PV aud. du 29 avril 2022, lignes 31 à 33), ce qui contredit les explications figurant dans son recours sur ce point (recours, p. 6 : « il ne pensait pas mettre les personnes qui s’y trouvaient en danger » ). On relèvera de plus que seule l’intervention des pompiers, à la suite du déclenchement de l’alarme incendie de l’établissement, a permis de maîtriser le sinistre (P. 4, p. 2). Le fait que, dans ces circonstances, le recourant soit resté à l’intérieur, attablé, après avoir bouté le feu, laisse songeur quant à son état d’esprit au moment des faits. Force est en outre de constater que l’intéressé semble souffrir de problèmes psychologiques, comme il l’admet d’ailleurs lui-même. Il a reconnu que ses gestes étaient dus à une surcharge émotionnelle, que le fait de mettre le feu le soulageait momentanément (PV aud. 3, lignes 56 et 99 à 101) et qu’il n’arrivait pas à se maitriser dans ces moments-là, même s’il avait conscience de ses actes (PV aud. du 30 avril 2022, lignes 29 et 30). Comme le premier juge l’a à juste titre indiqué, de telles déclarations ne sont pas de nature à rassurer, puisque le prévenu semble souffrir de dépression et de troubles anxieux, qu’au moment des faits, il était suivi par une psychologue à raison de deux fois par semaine (PV aud. 1, R. 3) et qu’il n’a pas été en mesure d’évoquer son mal-être et ses pulsions incendiaires avec sa thérapeute. Le fait que le prénommé se soit dénoncé après les faits du 22 avril 2022 ne change rien à ce constat. S’il est vrai que son casier judiciaire est vierge, il n’empêche que l’incendie intentionnel est une infraction pouvant mettre gravement en danger l’intégrité physique d’autrui. Il apparaît en définitive, compte tenu de ce qui précède, que le risque de réitération est avéré et que l’intérêt à la sécurité publique doit prévaloir sur la liberté personnelle du recourant. Partant, le risque de réitération au sens de l’art. 221 al. 1 let. c CPP demeurant concret, les conditions de la détention préventive sont remplies.</w:t>
      </w:r>
    </w:p>
    <w:p>
      <w:r>
        <w:rPr>
          <w:b/>
        </w:rPr>
        <w:t>E. 4.1</w:t>
      </w:r>
    </w:p>
    <w:p>
      <w:r>
        <w:t>Le recourant invoque ensuite une violation de l’art. 237 CPP et du principe de la proportionnalité.</w:t>
      </w:r>
    </w:p>
    <w:p>
      <w:r>
        <w:rPr>
          <w:b/>
        </w:rPr>
        <w:t>E. 4.2</w:t>
      </w:r>
    </w:p>
    <w:p>
      <w:r>
        <w:t>En vertu du principe de proportionnalité ancré à l'art. 36 al. 3 Cst., l'autorité doit tenter autant que possible de substituer à la détention toute autre mesure moins incisive propre à atteindre le même résultat ( ATF 133 I 270 consid. 2.2 p. 276). Le Code de procédure pénale le prévoit expressément à l'art. 237, en énumérant certaines mesures de substitution telle que l'assignation à résidence (art. 237 al. 2 let. c CPP) ou l'obligation de se soumettre à un traitement médical ou à des contrôles (art. 237 al. 2 let. f CPP). Conformément à l'art. 237 al. 5 CPP, le tribunal peut en tout temps révoquer les mesures de substitution, en ordonner d'autres ou prononcer la détention provisoire si des faits nouveaux l'exigent ou si le prévenu ne respecte pas les obligations qui lui ont été imposées. Un placement en institution avant un jugement au fond n'est en principe pas exclu; la liste des mesures de substitution énoncée à l'art. 237 CPP n'est en effet pas exhaustive ( ATF 142 IV 367 consid. 2.1 p. 370) et rien ne s'oppose à un tel placement, combiné le cas échéant avec d'autres mesures, si cela permet d'atteindre le même but que la détention. Une telle mesure doit cependant reposer sur un avis d'expert (TF 1B_3/2019 du 17 janvier 2019 consid. 3.2; TF 1B_100/2016 du 5 avril 2016 consid. 3.2; TF 1B_654/2011 du 7 décembre 2011 consid. 4.2 in Plaidoyer 2012 p. 51).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mais est susceptible de faire l'objet d'une exécution anticipée de mesures selon l'art. 236 CPP (TF 1B_294/2015 du 23 septembre 2015 consid. 2.2 et 2.4), cette démarche supposant alors une demande du prévenu en ce sens et l'accord de la direction de la procédure (cf. art. 236 al. 1 CPP). Au demeurant,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(TF 1B_317/2017 du 15 août 2017 consid. 2.2.2 in fine ; TF 1B_538/2017 du 26 janvier 2018 consid. 6.2 in fine ).</w:t>
      </w:r>
    </w:p>
    <w:p>
      <w:r>
        <w:rPr>
          <w:b/>
        </w:rPr>
        <w:t>E. 4.3</w:t>
      </w:r>
    </w:p>
    <w:p>
      <w:r>
        <w:t>En l’occurrence, c’est à tort que le recourant reproche au Tribunal des mesures de contrainte d’avoir retenu qu’un avis d’expert était nécessaire pour le placer en institution, et qu’il affirme que ce raisonnement ignore l’impact de la détention sur son état psychique et qu’il est donc nécessaire d’attendre « un avis expertal sur [sa] dangerosité » . En effet, selon la jurisprudence précitée, le choix d’une mesure au sens des art. 59 ss CP relève en principe du juge du fond. En l’espèce, le placement dans un établissement psychosocial que le recourant appelle de ses vœux équivaut à l’instauration, par le juge de la détention, d’une mesure au sens des art. 59 ss CP, plus précisément d’une mesure institutionnelle de l’art. 59 CP ou d’un traitement ambulatoire au sens de l’art. 63 CP, de sorte qu’il ne peut être ordonné par le juge de la détention sans que toutes les conditions en soient a priori assurées (cf. consid. 4.2 supra ). Ainsi, comme relevé à juste titre par le premier juge, une telle mesure ne saurait être ordonnée sur la base d’un simple rapport médical. Il ressort d’ailleurs de ce rapport que jusqu’aux faits reprochés, le prévenu bénéficiait d’un suivi psychiatrique et psychothérapeutique régulier, ce qui ne l’a toutefois pas empêché d’agir, selon ses propres aveux. Une expertise psychiatrique judiciaire est à cet égard indispensable, qui renseignera sur le trouble mental dont semble souffrir le recourant, son lien avec la commission des infractions qui lui sont reprochées et les possibilités de réduire le risque de récidive. C’est donc en vain que le recourant plaide l’art. 186 CPP, qui traite de l’hospitalisation à des fins d’expertise. Enfin, l’arrêt cité par le recourant (TF 1B_654/2011 du 7 décembre 2011) ne lui est d’aucun secours, une expertise judiciaire ayant justement été réalisée dans ce cas. In casu , dans l’attente des résultats de l’expertise, dont la mise en œuvre a d’ores et déjà été ordonnée, la sécurité publique doit prévaloir. Par conséquent, le principe de la proportionnalité n’est pas violé. Mal fondé, ce moyen doit donc être rejeté.</w:t>
      </w:r>
    </w:p>
    <w:p>
      <w:r>
        <w:rPr>
          <w:b/>
        </w:rPr>
        <w:t>E. 5</w:t>
      </w:r>
    </w:p>
    <w:p>
      <w:r>
        <w:t>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 ATF 140 IV 74 consid. 3.2 p. 80; ATF 137 IV 118 consid. 2.1 p. 120; ATF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 ATF 133 I 270 consid. 3.4.2 p. 281; ATF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 ATF 128 I 149 consid. 2.2.2 p. 152).</w:t>
      </w:r>
    </w:p>
    <w:p>
      <w:r>
        <w:rPr>
          <w:b/>
        </w:rPr>
        <w:t>E. 5.1</w:t>
      </w:r>
    </w:p>
    <w:p>
      <w:r>
        <w:t>Dans un dernier moyen, le recourant invoque une violation de l’art. 5 al. 2 CPP.</w:t>
      </w:r>
    </w:p>
    <w:p>
      <w:r>
        <w:rPr>
          <w:b/>
        </w:rPr>
        <w:t>E. 5.2</w:t>
      </w:r>
    </w:p>
    <w:p>
      <w:r>
        <w:t>Les art. 29 al. 1 Cst. et</w:t>
      </w:r>
    </w:p>
    <w:p>
      <w:r>
        <w:rPr>
          <w:b/>
        </w:rPr>
        <w:t>E. 5.3</w:t>
      </w:r>
    </w:p>
    <w:p>
      <w:r>
        <w:t>En l’espèce, le recourant invoque une violation de l’art. 5 al. 2 CPP, mais n’expose pas en quoi les conditions posées par la jurisprudence précitée seraient réunies sur ce point. Il n’invoque pas une période d’inactivité de l’instruction mais seulement que le rapport d’expertise psychiatrique devrait être déposé dans les 30 jours, subsidiairement 60 jours. Ce faisant, il se contente de réaffirmer ce qu’il a invoqué devant le premier juge, sans essayer de démontrer en quoi le raisonnement fait par ce dernier à cet égard – sur le respect des règles de procédure relatives à la mise en œuvre d’une expertise – serait erroné. On rappellera par ailleurs, comme le tribunal, que F.________, comme tout prévenu, peut bénéficier d’un suivi médical en détention. Pour le surplus, le recourant reconnaît lui-même que si des motifs « commandent une prolongation de cette durée (…), le Ministère public pourrait demander une prolongation de la détention provisoire auprès du Tribunal des mesures de contrainte » (recours, p. 11). Enfin, du point de vue temporel, compte tenu de la gravité de l’infraction d’incendie intentionnel – passible d’une peine privative de liberté minimale d’une année (art. 221 al. 1 CP) – de la réitération de celle-ci, ainsi que de la durée de la détention subie – qui se montera à 3 mois au terme de la durée contestée –, le principe de la proportionnalité est à cet égard également respecté. Le grief est donc mal fondé et doit être rejeté.</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F.________ sera fixée à 630 fr., correspondant à une activité nécessaire d’avocat de 3,5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12 fr. 60, plus la TVA au taux de 7,7 %, par 49 fr. 50, soit à 692 fr. au total en chiffres arrondis. Vu le sort du recours, les frais de la procédure, constitués en l’espèce de l’émolument d'arrêt, par 1'540 fr. (art. 20 al. 1 TFIP), et des frais imputables à la défense d’office de F.________ (art. 422 al. 1 et 2 let. a CPP), fixés à 692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30 avril 2022 est confirmée. III. L’indemnité allouée au défenseur d’office de F.________ est fixée à 692 fr. (six cent nonante-deux francs). IV. Les frais d’arrêt, par 1'540 fr. (mille cinq cent quarante francs), ainsi que l’indemnité due au défenseur d’office du recourant, par 692 fr. (six cent nonante-deux francs), sont mis à la charge de F.________. V. Le remboursement à l’Etat de l’indemnité allouée au chiffre III ci-dessus ne sera exigible que pour autant que la situation financière de F.________ le permette. VI. L’arrêt est exécutoire. La présidente :               Le greffier : Du Le présent arrêt, dont la rédaction a été approuvée à huis clos, est notifié, par l'envoi d'une copie complète, à : - Me Théo Brühlmann, avocat (pour F.________), - Ministère public central, et communiqué à : ‑ Mme la Procureure de l’arrondissement du Nord vaudois,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