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340 vom 25. April 2022</w:t>
      </w:r>
    </w:p>
    <w:p>
      <w:r>
        <w:t>VD Tribunal cantonal, 2022-04-25, FR</w:t>
      </w:r>
    </w:p>
    <w:p>
      <w:r>
        <w:rPr>
          <w:b/>
        </w:rPr>
        <w:t xml:space="preserve">Quelle: </w:t>
      </w:r>
      <w:r>
        <w:t>https://mcp.opencaselaw.ch/entscheid/vd_findinfo_D_cision___2022___340</w:t>
      </w:r>
    </w:p>
    <w:p>
      <w:r>
        <w:t>FR: VD_FINDINFO Décision / 2022 / 340 du 25 avril 2022</w:t>
      </w:r>
    </w:p>
    <w:p>
      <w:r>
        <w:t>IT: VD_FINDINFO Décision / 2022 / 340 del 25 aprile 2022</w:t>
      </w:r>
    </w:p>
    <w:p>
      <w:pPr>
        <w:pStyle w:val="Heading2"/>
      </w:pPr>
      <w:r>
        <w:t>Regeste</w:t>
      </w:r>
    </w:p>
    <w:p>
      <w:r>
        <w:t>EXÉCUTION ANTICIPÉE DES PEINES ET DES MESURES, RISQUE DE COLLUSION, ADMISSION DE LA DEMANDE | 236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recours dirigé contre la décision de la direction de la procédure d’un tribunal de première instance refusant l’exécution anticipée de la peine est néanmoins recevable, dès lors qu’une telle décision touche les droits fondamentaux du prévenu et qu’elle est susceptible de lui causer un préjudice irréparable (cf. CREP 28 février 2014/160 consid. 1 et les références citées).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En l’espèce, interjeté en temps utile auprès de l’autorité compétente par le prévenu qui a qualité pour recourir (art. 382 al. 1 CPP) et dans les formes prescrites (art. 385 al. 1 CPP), le recours est recevable.</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cas échéant, de meilleures chances de resocialisation (ATF 143 IV 160 consid. 2.1 p. 162). Dès l'entrée du prévenu dans l'établissement, l'exécution de la peine ou de la mesure commence et le prévenu est soumis au régime de l'exécution, sauf si le but de la détention provisoire ou de la détention pour des motifs de sûreté s'y oppose (art. 236 al. 4 CPP). L'art. 236 al. 1 in fine CPP suppose que le « stade de la procédure »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se déroule l'administration des preuves (TF 1B_189/2014 du 28 juillet 2014 consid. 2.3 et les références citées).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1B_107/2020 du 24 mars 2020 consid. 2.1 ; TF 1B_186/2018 du 8 mai 2018 consid. 2.1; TF 1B_400/2017 du 18 octobre 2017 consid. 2.1; TF 1B_127/2017 du 20 avril 2017 consid. 2.1). Lorsque l'instruction se trouve à un stade avancé, il convient de prendre en considération que l'administration de certaines preuves, telles que notamment les auditions de témoins, devrait très vraisemblablement être répétée lors des débats qui devraient se tenir devant le Tribunal. Dans ce contexte, le Tribunal fédéral a insisté sur le principe de l'oralité et de l'immédiateté des débats, lesquels conduisent à l'instruction définitive de l'affaire par le biais de l'intime conviction du juge (art. 10 al. 2 CPP) : celui-ci doit non seulement tenir compte du contenu des témoignages, mais aussi de la manière dont s'expriment les témoins (ATF 140 IV 196 consid. 4.4.2 p. 199 s.). Les déclarations que pourraient être amenés à faire les différents participants - tels que les témoins (TF 1B_400/2017 du 18 octobre 2017 consid. 2.3) - représentent donc un moyen de preuve dont la connaissance directe par le tribunal apparaît nécessaire au prononcé du jugement (art. 343 al. 3 CPP; ATF 140 IV 196 consid. 4.4.3 p. 200; TF 1B_144/2017 du 27 avril 2017 consid. 3.2) et qu'il peut s'avérer indispensable de préserver de toute influence de la part du prévenu (TF 1B_318/2019 du 15 juillet 2019 consid. 2.1; TF 1B_144/2019 du 16 avril 2019 consid. 2.1).</w:t>
      </w:r>
    </w:p>
    <w:p>
      <w:r>
        <w:rPr>
          <w:b/>
        </w:rPr>
        <w:t>E. 2.2</w:t>
      </w:r>
    </w:p>
    <w:p>
      <w:r>
        <w:t>En l’espèce, la Présidente du Tribunal criminel et le Ministère public (P. 110) ont retenu qu’il existait un risque pour la sécurité des témoins L.________ et A.________. Ces témoins ont certes émis des craintes à cet égard lors de leurs auditions par la police (PV aud. 9, R. 29 ss ; PV aud. 11, R. 19). Ces craintes demeurent toutefois vagues et ne reposent sur aucun élément concret. Aucun des prénommés n’a en particulier indiqué qu’il aurait fait l’objet de menaces de qui que ce soit, se référant uniquement à des représailles dont ils pourraient faire l’objet en raison de leur statut de témoins. La direction de la procédure n’explique d’ailleurs pas comment le recourant pourrait s’en prendre à l’intégrité des témoins tout en étant enfermé. Le risque pour la sécurité des témoins n’est donc pas suffisamment concret et sérieux pour justifier un refus d’exécution anticipée de peine. La Présidente du Tribunal criminel et le Ministère public considèrent également que le recourant pourrait tenter de contacter les témoins, voire la victime, pour les enjoindre de modifier leur version. A cet égard, force est de constater que la victime et les deux témoins précités ont déjà fait des dépositions circonstanciées (PV aud. 5, 9 et 11). La défense a par ailleurs produit deux lettres – l’une du conseil de la victime, l’autre du Ministère public – qui établissent que les deux témoins ne seront pas entendus à l’audience de jugement (P. 128), alors que le procureur, dans son préavis du 18 mars 2022, s’était prononcé défavorablement sur la demande d’exécution anticipée de peine pour le seul motif, précisément, qu’il n’était pas exclu, « en l’état » , que l’une ou l’autre des parties soit amenée à requérir l’audition d’un des témoins des faits. En l’occurrence, il ne semble donc pas exister de circonstances particulières faisant apparaître un danger concret de manœuvres, propres à entraver la manifestation de la vérité, au sens de la jurisprudence précitée. Dans tous les cas, un tel risque pourrait être évité par des restrictions au sens de l’art. 236 al. 4 CPP, telle qu’une interdiction de prendre contact avec la victime et les témoins sous quelque forme que ce soit, interdiction dont le respect pourrait être assuré par le contrôle des visites (art. 235 al. 2 CPP), du courrier et des téléphones du prévenu (art. 235 al. 3 CPP). Il s’ensuit qu’une exécution anticipée de peine assortie de conditions aurait pu être ordonnée. L'art. 22 al. 2 LEDJ (loi sur l'exécution de la détention avant jugement du 7 novembre 2006 ; BLV 312.07) prévoit toutefois que, lorsque la direction de la procédure envisage d'ordonner une exécution anticipée de peine assortie de conditions, elle prend au préalable l'avis de l'Office d'exécution des peines. Dans la mesure où un préavis n’a pas encore été requis, il convient d'annuler la décision rendue par la Présidente du Tribunal criminel et de lui retourner le dossier pour qu'elle interpelle l'Office d'exécution des peines puis rende une nouvelle ordonnance, tenant compte de l'avis de cet office et des considérants qui précèdent.</w:t>
      </w:r>
    </w:p>
    <w:p>
      <w:r>
        <w:rPr>
          <w:b/>
        </w:rPr>
        <w:t>E. 3</w:t>
      </w:r>
    </w:p>
    <w:p>
      <w:r>
        <w:t>En définitive, le recours doit être admis, l'ordonnance du 23 mars 2022 annulée et le dossier renvoyé à la Présidente du Tribunal criminel de l’arrondissement de l’Est vaudois pour qu'elle procède dans le sens des considérants. Les frais de la procédure de recours, constitués en l’espèce de l’émolument d'arrêt, par 770 fr. (art. 20 al. 1 TFIP [Tarif des frais de procédure et indemnités en matière pénale du 28 septembre 2010 ; BLV 312.03.1]), et des frais imputables à la défense d’office (art. 422 al. 1 et 2 let. a CPP), fixés à 630 fr. (3,5 heures d’activité nécessaire d’avocat au tarif horaire de 180 fr.), auxquels il convient d’ajouter des débours forfaitaires à concurrence de 2 %, par 12 fr. 60, plus la TVA (7,7%), par 49 fr. 50, soit à 693 fr. au total en chiffres arrondis, seront laissés à la charge de l'Etat (art. 428 al. 4 CPP). Par ces motifs, la Chambre des recours pénale prononce : I. Le recours est admis. II. L'ordonnance du 23 mars 2022 est annulée. III. Le dossier de la cause est renvoyé à la Présidente du Tribunal criminel de l’arrondissement de l’Est vaudois pour qu'elle procède dans le sens des considérants. IV. L’indemnité allouée à Me Ludovic Tirelli, défenseur d’office de V.________, est fixée à 693 fr. (six cent nonante-trois francs). V. Les frais d’arrêt, par 770 fr. (sept cent sepante francs), ainsi que l’indemnité due au défenseur d’office de V.________, par 693 fr. (six cent nonante-trois francs), sont laissés à la charge de l'Etat. VI. L’arrêt est exécutoire. La présidente :               Le greffier : Du Le présent arrêt, dont la rédaction a été approuvée à huis clos, est notifié, par l'envoi d'une copie complète, à : - Me Ludovic Tirelli, avocat (pour V.________), - Ministère public central, et communiqué à : ‑ Mme la Présidente du Tribunal criminel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