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325 vom 12. April 2022</w:t>
      </w:r>
    </w:p>
    <w:p>
      <w:r>
        <w:t>VD Tribunal cantonal, 2022-04-12, FR</w:t>
      </w:r>
    </w:p>
    <w:p>
      <w:r>
        <w:rPr>
          <w:b/>
        </w:rPr>
        <w:t xml:space="preserve">Quelle: </w:t>
      </w:r>
      <w:r>
        <w:t>https://mcp.opencaselaw.ch/entscheid/vd_findinfo_D_cision___2022___325</w:t>
      </w:r>
    </w:p>
    <w:p>
      <w:r>
        <w:t>FR: VD_FINDINFO Décision / 2022 / 325 du 12 avril 2022</w:t>
      </w:r>
    </w:p>
    <w:p>
      <w:r>
        <w:t>IT: VD_FINDINFO Décision / 2022 / 325 del 12 aprile 2022</w:t>
      </w:r>
    </w:p>
    <w:p>
      <w:pPr>
        <w:pStyle w:val="Heading2"/>
      </w:pPr>
      <w:r>
        <w:t>Regeste</w:t>
      </w:r>
    </w:p>
    <w:p>
      <w:r>
        <w:t>DIFFAMATION, CALOMNIE, NON-LIEU, ADMISSION DE LA DEMANDE, TIERS, SAUVEGARDE DU SECRET | 173 ch. 1 CP, 173 ch. 2 CP, 174 CP,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art. 80 LOJV [Loi d’organisation judiciaire du 12 décembre 1979 ; BLV 173.01]).</w:t>
      </w:r>
    </w:p>
    <w:p>
      <w:r>
        <w:rPr>
          <w:b/>
        </w:rPr>
        <w:t>E. 1.2</w:t>
      </w:r>
    </w:p>
    <w:p>
      <w:r>
        <w:t>Interjeté dans le délai légal et dans les formes prescrites (art. 385 al. 1 CPP) auprès de l’autorité compétente, par la partie plaignante qui a qualité pour recourir (art. 382 al. 1 CPP), le recours de X.________ est recevable.</w:t>
      </w:r>
    </w:p>
    <w:p>
      <w:r>
        <w:rPr>
          <w:b/>
        </w:rPr>
        <w:t>E. 2</w:t>
      </w:r>
    </w:p>
    <w:p>
      <w:r>
        <w:t>Conformément à l’art. 310 al. 1 CPP, le ministère public rend immédiatement une ordonnance de non-entrée en matière s’il ressort de la dénonciation ou du rapport de police que les éléments constitutifs de l’infraction ou que les conditions à l’ouverture de l’action pénale ne sont manifestement pas réunies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w:t>
      </w:r>
    </w:p>
    <w:p>
      <w:r>
        <w:rPr>
          <w:b/>
        </w:rPr>
        <w:t>E. 3.1</w:t>
      </w:r>
    </w:p>
    <w:p>
      <w:r>
        <w:t>Le recourant conteste que la Présidente du tribunal puisse être considérée comme un « confident nécessaire ». Il invoque qu’elle correspond au contraire à un « tiers » au sens des dispositions relatives aux délits contre l’honneur selon la jurisprudence du Tribunal fédéral. Ainsi, le fait que Y.________ ait tenu des propos diffamatoires à un magistrat soumis au secret de fonction ne permet pas de nier la qualité de tiers de ce dernier, étant précisé que cet élément ne permettrait pas non plus d’interpréter autrement le caractère attentatoire des propos litigieux. Il ajoute qu’en agissant de la sorte, le prénommé aurait accepté, à tout le moins par dol éventuel, que ses accusations soient communiquées à un nombre indéterminé de personnes, soit notamment aux membres du greffe du tribunal ou à l’avocate de l’intimé.</w:t>
      </w:r>
    </w:p>
    <w:p>
      <w:r>
        <w:rPr>
          <w:b/>
        </w:rPr>
        <w:t>E. 3.2.1</w:t>
      </w:r>
    </w:p>
    <w:p>
      <w:r>
        <w:t>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 173 ch. 1 CP). L'inculpé n'encourra aucune peine s'il prouve que les allégations qu'il a articulées ou propagées sont conformes à la vérité ou qu'il avait des raisons sérieuses de les tenir de bonne foi pour vraies (ch. 2). Se rend coupable de calomnie au sens de l'art. 174 ch. 1 CP celui qui, connaissant la fausseté de ses allégations, aura, en s'adressant à un tiers, accusé une personne ou jeté sur elle le soupçon de tenir une conduite contraire à l'honneur, ou de tout autre fait propre à porter atteinte à sa considération. L'art. 176 CP assimile à la diffamation et à la calomnie verbales la diffamation et la calomnie par l'écriture, l'image, le geste ou par tout autre moyen.</w:t>
      </w:r>
    </w:p>
    <w:p>
      <w:r>
        <w:rPr>
          <w:b/>
        </w:rPr>
        <w:t>E. 3.2.2</w:t>
      </w:r>
    </w:p>
    <w:p>
      <w:r>
        <w:t>Ces dispositions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2.1.1 ; TF 6B_541/2019 du 15 juillet 2019 consid. 2.1 et 2.2). L'honneur protégé par le droit pénal est conçu de façon générale comme un droit au respect, qui est lésé par toute assertion propre à exposer la personne visée au mépris en sa qualité d'être humain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consid 2.1.3).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Du point de vue subjectif, il suffit que l'auteur ait eu conscience du caractère attentatoire à l'honneur de ses propos et qu'il les ait néanmoins proférés ; il n'est pas nécessaire qu'il ait eu la volonté de blesser la personne visée (ATF 137 IV 313 consid. 2.1.6 ; TF 6B_974/2018 du 20 décembre 2018 consid. 2.2).</w:t>
      </w:r>
    </w:p>
    <w:p>
      <w:r>
        <w:rPr>
          <w:b/>
        </w:rPr>
        <w:t>E. 3.2.3</w:t>
      </w:r>
    </w:p>
    <w:p>
      <w:r>
        <w:t>Il y a atteinte à l'honneur si on évoque une infraction pénale ou un comportement clairement réprouvé par les conceptions morales généralement admises (TF 6B_1020/2018 du 1 er juillet 2019 consid. 5.1.1 in fine et les réf. citées).</w:t>
      </w:r>
    </w:p>
    <w:p>
      <w:r>
        <w:rPr>
          <w:b/>
        </w:rPr>
        <w:t>E. 3.2.4</w:t>
      </w:r>
    </w:p>
    <w:p>
      <w:r>
        <w:t>Pour qu'il y ait diffamation ou calomnie, il faut que l'auteur s'adresse à un tiers. Est en principe considérée comme tiers toute personne autre que l'auteur et l'objet des propos qui portent atteinte à l'honneur (ATF 145 IV 462 consid. 4.3.3). En font également partie, en principe, les personnes soumises au secret professionnel de l’art. 321 CP (soit notamment les avocats, médecins, pharmaciens, psychologues ainsi que leurs auxiliaires) ou de très proches parents de l’auteur (TF 6B_69/2016 consid. 2.1.1 ; TF 6S.3/2007 consid. 4.3 et les réf. citées). Le Tribunal fédéral a examiné si, parmi ces deux catégories de confidents, il ne fallait pas admettre que certains d’entre eux devaient être exclus du cercle des tiers, au motif qu’ils étaient des « confidents nécessaires » ; même critiqué par la doctrine, le Tribunal fédéral a maintenu sa jurisprudence, selon laquelle le cercle des personnes considérées comme tiers ne doit pas être limité (cf. pour les avocats : ATF 145 IV 462 consid. 4.3.3 ; pour les membres de la famille proche, cf. TF 6B_69/2016 du 29 septembre 2016 consid. 2.1.1 ; pour une casuistique complète, cf. Trechsel/Lehmkuhl, in : Trechsel/Pieth [éd.], Schweizerisches Strafge­setzbuch, Praxiskommentar, 4 e éd. 20121 n. 4 ad art. 173 CP).</w:t>
      </w:r>
    </w:p>
    <w:p>
      <w:r>
        <w:rPr>
          <w:b/>
        </w:rPr>
        <w:t>E. 3.2.5</w:t>
      </w:r>
    </w:p>
    <w:p>
      <w:r>
        <w:t>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La jurisprudence admet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135 IV 177 consid. 4 ; 131 IV 154 consid. 1.3.1 ; TF 6B_541/2019 du 15 juillet 2019 consid. 2.2).</w:t>
      </w:r>
    </w:p>
    <w:p>
      <w:r>
        <w:rPr>
          <w:b/>
        </w:rPr>
        <w:t>E. 3.3</w:t>
      </w:r>
    </w:p>
    <w:p>
      <w:r>
        <w:t>En l'espèce, le caractère attentatoire à l’honneur des propos contenus dans le courrier adressé par Y.________ à la Présidente du tribunal apparaît incontestable, dès lors que celui-ci évoque une infraction pénale, soit une tentative d’assassinat (cf. P. 5/4). Contrairement à ce que soutient le Ministère public, un magistrat est un tiers au sens de l’art. 173 CP. Il ressort de ce qui précède (cf. consid. 3.2.4) que ni le Tribunal fédéral, qui a une conception large de la notion de tiers, ni même la majorité des auteurs soutenant que le cercle des personnes considérées comme tiers doit être limité (les propos attentatoires à l’honneur ne devant selon eux pas être punissables lorsqu’ils sont énoncés dans un cercle familial étroit ou adressés à des personnes astreintes au secret professionnel au sens de l’art. 321 CP) envisagent de considérer qu’un agent public, et en particulier un magistrat, puisse être qualifié de confident nécessaire. Le fait que le magistrat soit soumis au secret de fonction est à cet égard sans portée. Il n’est pas un « confident », puisqu’il ne fait pas partie des professionnels énumérés à l’art. 321 CP ni des proches parents de l’auteur. L’argument du recourant est bien fondé. La Présidente du tribunal ne saurait dans ces conditions être considérée comme un « confident » ni a fortiori un « confident nécessaire » et il était par conséquent exclu de nier qu’elle puisse avoir la qualité de tiers. C’est donc à tort que le Ministère public a refusé d'entrer en matière pour ce motif sur les chefs d'accusation de diffamation et de calomnie. Enfin, à ce stade, le dossier ne comporte aucun élément qui permet d’examiner si l’auteur peut se prévaloir du fait justificatif de l’art. 14 CP ou, subsidiairement, s’il peut être admis à apporter les preuves libératoires. En conclusion, une ordonnance de non-entrée en matière ne pouvait pas être rendue. Il incombera au Ministère public d’ouvrir une instruction contre Y.________ pour les faits mentionnés dans la plainte.</w:t>
      </w:r>
    </w:p>
    <w:p>
      <w:r>
        <w:rPr>
          <w:b/>
        </w:rPr>
        <w:t>E. 4</w:t>
      </w:r>
    </w:p>
    <w:p>
      <w:r>
        <w:t>En définitive, le recours doit être admis, l’ordonnance entreprise annulée et la cause renvoyée au Ministère public pour qu’il procède dans le sens des considérants. Le recourant, qui obtient gain de cause et qui a procédé avec l’assistance d’un défenseur de choix, a droit à une indemnité pour les dépenses occasionnées par l’exercice raisonnable de ses droits pour la procédure de recours, à la charge de l’Etat (art. 429 al. 1 let. a CPP, applicable par renvoi de l’art. 436 al. 1 CPP). Le recourant a requis l’octroi d’une indemnité de 2'250 fr., sans TVA vu son domicile à l’étranger, représentant</w:t>
      </w:r>
    </w:p>
    <w:p>
      <w:r>
        <w:rPr>
          <w:b/>
        </w:rPr>
        <w:t>E. 5</w:t>
      </w:r>
    </w:p>
    <w:p>
      <w:r>
        <w:t>heures d’activité d’avocat au tarif horaire de 450 francs. Plus précisément, il détaille cette durée comme suit : 2 heures pour « examen de la décision/conférence/courriel au client » (opérations du 16 février 2022), 2 heures pour la rédaction du recours (le 23 février 2022) et 1 heure pour « rédaction du recours/remaniement/bordereau » (le 4 mai 2021 [sic]). Le montant réclamé est excessif. Il y a en effet lieu de retenir, au vu de la simplicité de la cause, que 3 heures étaient suffisantes pour procéder à l’entier des opérations liées au recours, (examen de la décision, conférence, rédaction du recours), étant précisé que l’établissement d’un bordereau et la confection de mémos sont considérés comme du travail de secrétariat entrant dans les frais généraux de l’étude. Pour le surplus, selon la jurisprudence, l’indemnité doit correspondre au tarif usuel du barreau applicable dans le canton où la procédure se déroule (ATF 142 IV 163 consid. 3.1.2 ; TF 6B_230/2021 du 17 novembre 2021 consid. 1.1). Le tarif horaire déterminant (hors TVA) dans le canton de Vaud est de 250 fr. au minimum et de 350 fr. au maximum pour l'activité déployée par un avocat (art. 26a al. 3 TFIP [tarif des frais de procédure et indemnités en matière pénale du 28 septembre 2010 ; BLV 312.03.1]). La cause étant simple, le tarif horaire de 450 fr. invoqué est également excessif. Il sera ramené à 300 francs. En définitive, l’indemnité allouée au recourant sera arrêtée à 918 fr., sur la base de 3 heures d’activité nécessaire d’avocat au tarif horaire de 300 fr., plus 2 % de débours (art. 19 al. 2 TDC [tarif des dépens en matière civile du 23 novembre 2010 ; BLV 270.11.6] par renvoi de l’art. 26a al. 6 TFIP), soit 18 francs. Les frais de la procédure de recours, constitués en l’espèce du seul émolument d’arrêt (art. 422 al. 1 CPP), par 880 fr. (art. 20 al. 1 TFIP), seront laissés à la charge de l’Etat (art. 428 al. 4 CPP). Par ces motifs, la Chambre des recours pénale prononce : I. Le recours est admis. II. L’ordonnance du 15 février 2022 est annulée. III. Le dossier de la cause est renvoyé au Ministère public de l’arrondissement de Lausanne pour qu’il procède dans le sens des considérants. IV. Une indemnité de 918 fr. (neuf cent dix-huit francs) est allouée à X.________ pour la procédure de recours, à la charge de l’Etat. V. Les frais d’arrêt, par 880 fr. (huit cent huitante francs), sont laissés à la charge de l’Etat. VI. L’arrêt est exécutoire. La présidente :               La greffière : Du Le présent arrêt, dont la rédaction a été approuvée à huis clos, est notifié, par l'envoi d'une copie complète, à : - Me François Canonica, avocat (pour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