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319 vom 3. Mai 2022</w:t>
      </w:r>
    </w:p>
    <w:p>
      <w:r>
        <w:t>VD Tribunal cantonal, 2022-05-03, FR</w:t>
      </w:r>
    </w:p>
    <w:p>
      <w:r>
        <w:rPr>
          <w:b/>
        </w:rPr>
        <w:t xml:space="preserve">Quelle: </w:t>
      </w:r>
      <w:r>
        <w:t>https://mcp.opencaselaw.ch/entscheid/vd_findinfo_D_cision___2022___319</w:t>
      </w:r>
    </w:p>
    <w:p>
      <w:r>
        <w:t>FR: VD_FINDINFO Décision / 2022 / 319 du 3 mai 2022</w:t>
      </w:r>
    </w:p>
    <w:p>
      <w:r>
        <w:t>IT: VD_FINDINFO Décision / 2022 / 319 del 3 maggio 2022</w:t>
      </w:r>
    </w:p>
    <w:p>
      <w:pPr>
        <w:pStyle w:val="Heading2"/>
      </w:pPr>
      <w:r>
        <w:t>Regeste</w:t>
      </w:r>
    </w:p>
    <w:p>
      <w:r>
        <w:t>DÉTENTION PROVISOIRE, RISQUE DE FUITE, RISQUE DE COLLUSION, SOUPÇON, MESURE DE SUBSTITUTION À LA DÉTENTION, REJET DE LA DEMANDE | 221 al. 1 let. a CPP (CH), 221 al. 1 let. b CPP (CH), 393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de R.________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Le recourant conteste l’existence des graves soupçons de commission de nouvelles infractions depuis sa libération en 2018 retenus à son encontre. Il fait valoir qu’il a déjà été placé en détention provisoire en 2018, que la vente de montres de luxe constatée sur son compte Instagram en 2020 n’avait alors pas conduit le Ministère public a requérir sa mise en détention, que la nouvelle plainte déposée par F.________ le 11 octobre 2021 ne porterait pas sur des faits nouveaux, mais sur des faits datant de plus de 3 ans et que l’assertion selon laquelle il profiterait d’un train de vie incompatible avec une personne ayant des poursuites pour des centai­nes de milliers de francs ne reposerait sur aucune explication claire et objective.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[CR-CPP], nn. 4 ss ad art. 221 CPP). 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quoi qu’en dise le recourant, ses arguments ne permettent pas de remettre en cause l’existence de charges suffisantes pesant sur lui. En effet, au regard de l’ensemble des circonstances, parmi lesquelles le comportement de R.________, et ce quand bien même il conteste avoir commis de nouvelles infractions depuis 2018, le dossier contient des indices concrets de la poursuite de son activité délictueuse. Ouverte en 2018, l’enquête a été étendue, le 16 octobre 2019, aux faits relatifs à un véhicule loué par le recourant et non restitué (PV op. p. 14). Dans un rapport d’investigation datant du 17 juillet 2020 (P. 77), la police a constaté que R.________ poursuivait ses activités délictueuses sur les réseaux sociaux, laissant toujours croire qu’il était fortuné et qu’il pouvait gagner beaucoup d’argent grâce à des investissements très rentables, ceci afin de mettre en confiance des futurs potentiels lésés pour qu’ils lui confient leur argent. Le 11 octobre 2021, F.________ a déposé une seconde plainte contre R.________ pour abus de confiance et escroquerie portant sur un montant de 30'000 fr., faits datant de 2017 pour lesquels il n’était pas arrivé à trouver un arrangement avec le recourant (P. 101 et P. 103). En décembre 2020, la direction de la procédure a constaté que R.________ vendait toujours des montres de luxe sur son compte Instagram (PV op. p. 18). Enfin, un mois avant son interpellation, le recourant vendait encore une montre [...] sur son compte Linkedin, ce qui laisse augurer d’une nouvelle activité délictueuse similaire à celle ayant conduit à l’ouverture d’une instruction pénale en 2018 à son encontre (PV op. p. 22). Quant aux explications fournies par le recourant lors de son audition par le procureur au sujet d’un mandat qu’il aurait reçu de [...] pour la vente d’un tableau de [...], elles ne paraissent pas crédibles. A cela s’ajoute le fait que le recourant a tenté de se soustraire à son audition récapitulative en faisant écrire faussement par son avocat – ce que celui-ci ignorait – qu’il se trouvait au Mexique en raison d’un engagement humanitaire. Un mandat d’amener a dû être délivré à l’encontre de R.________ qui a pu être appréhendé le 13 avril 2022 au domicile de son amie. La police a procédé à la perquisition de son logement le même jour et a saisi un nombre considérable de cartes bancaires et de crédit ([...]) et une [...] propriété d’un garage allemand, ainsi que plusieurs montres de luxe ([...]), des bijoux et des docu­ments relatifs à des transactions financières (P. 111). R.________ a également menti à la police en cachant l’existence d’un téléphone portable qu’il a tenté de dissimuler dans son appartement et qui a été découvert au moment où sa sonnerie a retenti (PV op. p. 22), expliquant lors de son audition par le procureur qu’il ne voyait pas le lien entre ce téléphone et son audition récapitulative (PV aud. du 14 avril 2022 ll. 121-129 p. 4). Au vu de l’ensemble des circonstances qui précèdent, des soupçons de poursuite d’une activité délictueuse par le recourant sont bien présents. Les explications fournies par R.________ sur ses agissements, lequel a tenté d’échapper à une convocation du Ministère public et de dissimuler des moyens de preuves, ne sont pas convaincantes. Les objets saisis à son domicile sont peu compatibles avec le train de vie d’une personne criblée de dettes et le fait que certains biens saisis ne lui appartiendraient pas – Ferrari en prêt pour faire la promotion de son entreprise de vente de vêtements et objets qui appartiendraient à sa mère – devra faire l’objet de vérifications par le Ministère public. Aussi, les éléments au dossier précités constituent des indices sérieux et concrets que le recourant se soit rendu coupable des infractions d’abus de confiance et d’escroquerie par métier qui lui sont reprochés, de sorte que la première condition posée par l’art. 221 al. 1 CPP est réalisée.</w:t>
      </w:r>
    </w:p>
    <w:p>
      <w:r>
        <w:rPr>
          <w:b/>
        </w:rPr>
        <w:t>E. 4.1</w:t>
      </w:r>
    </w:p>
    <w:p>
      <w:r>
        <w:t>Le recourant conteste l’existence d’un risque de fuite. Il fait valoir que, bien qu’il ait menti, il n’aurait pas eu l’intention d’échapper à la justice lorsqu’il avait sollicité le report de son audition récapitulative, mais qu’il voulait consulter un avocat grand spécialiste du droit pénal pour préparer sa défense, qu’il est de nationalité suisse et domicilié en Suisse où il aurait toute sa famille et qu’il n’aurait ni les moyens ni la possibilité de fuir à l’étranger.</w:t>
      </w:r>
    </w:p>
    <w:p>
      <w:r>
        <w:rPr>
          <w:b/>
        </w:rPr>
        <w:t>E. 4.2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4.3</w:t>
      </w:r>
    </w:p>
    <w:p>
      <w:r>
        <w:t>En l’espèce, le fait que le recourant soit ressortissant suisse et que toute sa famille vive en Suisse ne change rien à l’existence du risque de fuite. En effet, le comportement du recourant, qui a menti en indiquant faussement à son défenseur qu’il était à l’étranger pour un engagement humanitaire pour tenter d’obtenir le report de son audition récapitulative – élément de preuve important imposé par le CPP afin de s’assurer que le prévenu ait pu s’exprimer de manière complète – et qui, ce faisant, a retardé l’enquête en empêchant le Ministère public de poursuivre l’instruction, démontre qu’il est prêt à tout pour faire durer la procédure et qu’il est à craindre, en cas de libération, qu’il tente de fuir la justice. Ainsi, au regard des charges qui pèsent contre lui et de la peine à laquelle il s’expose, le risque qu’il prenne la fuite ou qu’il entre dans la clandestinité pour échapper à la procédure pénale ouverte à son encontre est important. Partant, c’est à raison que le Tribunal des mesures de contrainte a considéré que le risque de fuite était concret.</w:t>
      </w:r>
    </w:p>
    <w:p>
      <w:r>
        <w:rPr>
          <w:b/>
        </w:rPr>
        <w:t>E. 5.1</w:t>
      </w:r>
    </w:p>
    <w:p>
      <w:r>
        <w:t>Le recourant conteste l’existence d’un risque de collusion. Il soutient qu’il aurait été sous le choc lors de la perquisition, qu’il aurait coopéré dès son audition par le procureur en indiquant le numéro permettant de déverrouiller son téléphone portable pour accéder aux informations qu’il contenait, que tous les objets saisis, désormais en mains du Ministère public, pourraient être contrôlés par la police sans qu’il puisse compliquer les investigations de quelque manière que ce soit, que dans la mesure où son téléphone portable était en mains de la police, il ne pourrait plus concrètement mettre en péril les mesures d’instruction envisagées par le procureur et que le fait que les mesures d’instruction annoncées pourraient rendre nécessaire la mise en œuvre d’autres mesures d’investigation nécessaires serait trop abstrait.</w:t>
      </w:r>
    </w:p>
    <w:p>
      <w:r>
        <w:rPr>
          <w:b/>
        </w:rPr>
        <w:t>E. 5.2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pp. 127 ss ; ATF 132 I 21 consid. 3.2 pp. 23 ss et les références citées). Plus l'instruction se trouve à un stade avancé et les faits sont établis avec précision, plus les exigences relatives à la preuve de l'existence d'un risque de collusion sont élevées (ATF 137 IV 122 consid. 4.2; ATF 132 I 21 consid. 3.2.2 ; TF 1B_426/2021 du 27 août 2021 consid. 2.1; TF 1B_414/2021 du 16 août 2021 consid. 5.1).</w:t>
      </w:r>
    </w:p>
    <w:p>
      <w:r>
        <w:rPr>
          <w:b/>
        </w:rPr>
        <w:t>E. 5.3</w:t>
      </w:r>
    </w:p>
    <w:p>
      <w:r>
        <w:t>En l’espèce, quand bien même l’enquête sur les nouveaux faits a déjà quelque peu avancé, la Chambre de céans considère, avec le Tribunal des mesures de contrainte, que le risque de collusion est sérieux et concret. En effet, compte tenu des éléments figurant au dossier, on ne saurait se contenter des seules explications du recourant, qui a menti en cherchant à se soustraire à son audition par le Ministère public et qui a dissimulé des moyens de preuves. Si plusieurs mesures d’instruction sont en passe d’être mises en œuvre, notamment l’extraction des données du téléphone portable du recourant et des données des disques durs de son ordinateur, l’enquête doit se poursuivre afin de déterminer l’ampleur de l’activité délictueuse de R.________ et d’identifier d’éventuels autres clients lésés et d’éventuels comparses, et le recourant doit encore être confronté aux résultats de ces mesures. Dans l’intervalle, il y a lieu d’empêcher qu’il puisse entrer en contact avec ces personnes afin de minimiser son implication en tentant d’influencer leurs déclarations ou qu’il entreprenne des démarches en vue de faire disparaître des éléments de preuves. Ainsi, à ce stade de l’enquête, une libération de R.________ compromettrait très sérieusement l’enquête.</w:t>
      </w:r>
    </w:p>
    <w:p>
      <w:r>
        <w:rPr>
          <w:b/>
        </w:rPr>
        <w:t>E. 5.4</w:t>
      </w:r>
    </w:p>
    <w:p>
      <w:r>
        <w:t>Les hypothèses prévues par l'art. 221 al. 1 CPP étant alternatives et non cumulatives (TF 1B_242/2016 du 21 juillet 2016 consid. 5 ; TF 1B_242/2013 du 5 août 2013 consid. 3), l’existence manifeste des risques de fuite et de collusion suffit à justifier le maintien en détention provisoire de R.________ et dispense la Cour de céans d’examiner les arguments du recourant en lien avec un éventuel risque de réitération, risque n’ayant au demeurant pas été retenu par le Tribunal des mesures de contrainte.</w:t>
      </w:r>
    </w:p>
    <w:p>
      <w:r>
        <w:rPr>
          <w:b/>
        </w:rPr>
        <w:t>E. 6.1</w:t>
      </w:r>
    </w:p>
    <w:p>
      <w:r>
        <w:t>Le recourant sollicite la mise en œuvre de mesures de substitution sous la forme du dépôt de ses papiers d’identité auprès de la police ou du Ministère public, ainsi que le port d’un bracelet électronique.</w:t>
      </w:r>
    </w:p>
    <w:p>
      <w:r>
        <w:rPr>
          <w:b/>
        </w:rPr>
        <w:t>E. 6.2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l’occurrence, les mesures de substitution proposées ne sont à l’évidence pas propres à pallier efficacement les risques de fuite et de collusion constatés. En effet, de jurisprudence constante, le dépôt de pièces d’identité n’est pas de nature à empêcher le recourant de quitter le territoire suisse pour un pays limitrophe ou de disparaître dans la clandestinité, mais uniquement, à l’instar d’un départ à l’étranger ou de l’entrée dans la clandestinité, à en constater la réalisation a posteriori (TF 1B_158/2021 du 20 avril 2021 consid. 3.5 et les références citées ; TF 1B_347/2019 du 17 septembre 2019 consid. 4.3.1 ; TF 1B_362/2019 du 17 septembre 2019 consid. 3.3.1 et 3.3.2). Il en va de même du port du bracelet électronique, qui peut du reste être ôté ; en outre, un tel dispositif n’empêcherait pas le recourant de contacter ses victimes et de prendre d’autres mesures depuis son domicile pour entraver la recherche de la vérité. Au surplus, aucune autre mesure de substitution ne paraît susceptible de contenir les risques retenus. En particulier, on ne saurait faire défense au recourant de prendre contact avec les personnes impliquées, dans la mesure où le respect de cette obligation ne reposerait que sur la volonté de celui-ci de s’y soumettre ; or, vu l’absence de fiabilité du recourant et sa propension à mentir, le risque qu’il perturbe l’enquête et tente de faire disparaître des preuves ne saurait être pris.</w:t>
      </w:r>
    </w:p>
    <w:p>
      <w:r>
        <w:rPr>
          <w:b/>
        </w:rPr>
        <w:t>E. 7</w:t>
      </w:r>
    </w:p>
    <w:p>
      <w:r>
        <w:t>En définitive, le recours interjeté par R.________ doit être rejeté et l’ordonnance attaquée confirmée. Vu le sort du recours, les frais de la procédure de recours, constitués de l’émolument d’arrêt, par 1'760 fr. ( art. 20 al. 1 TFIP [Tarif des frais de procédure et indemnités en matière pénale du 28 septembre 2010 ; BLV 312.03.1]), ainsi que des frais imputables à la défense d’office (art. 422 al. 1 et 2 let. a CPP), fixés à 540 fr. sur la base d’une durée d’activité raisonnable d’avocat indiquée de 3 heures au tarif horaire de 180 fr., auxquels il convient d’ajouter des débours forfaitaires à concurrence de 2 % (art. 2 al. 1 let. a et 3bis  al. 1 RAJ [Règlement sur l'assistance judiciaire en matière civile du 7 décembre 2010 ; BLV 211.02.3], applicables par renvoi de l’art. 26b TFIP), par 10 fr. 80, et la TVA, par 42 fr. 40, soit à 594 fr. au total en chiffres arrondis, seront mis à la charge du recourant, qui succombe (art. 428 al. 1 CPP). Le remboursement à l’Etat de l’indemnité allouée au défenseur d’office de R.________ ne sera exigible que pour autant que la situation financière de ce dernier le permette (art. 135 al. 4 let. a CPP). Par ces motifs, la Chambre des recours pénale prononce : I. Le recours est rejeté. II. L’ordonnance du 15 avril 2022 est confirmée. III. L'indemnité allouée à Me Xavier Oulevey, défenseur d'office de R.________, est fixée à 594 fr. (cinq cent nonante-quatre francs), TVA et débours compris. IV. Les frais d'arrêt, par 1'760 fr. (mille sept cent soixante francs), ainsi que l'indemnité allouée au défenseur d'office du recourant, par 594 fr. (cinq cent nonante-quatre francs), sont mis à la charge de R.________. V. Le remboursement à l'Etat de l’indemnité d’office allouée au chiffre III ci-dessus ne sera exigible que pour autant que la situation financière de R.________ le permette. VI. L’arrêt est exécutoire. La présidente :               La greffière : Du Le présent arrêt, dont la rédaction a été approuvée à huis clos, est notifié, par l'envoi d'une copie complète, à : - Me Jacques Barillon, avocat (pour R.________), - Me Xavier Oulevey, avocat, - Ministère public central, et communiqué à : - Mme la Présidente du Tribunal des mesures de contraintes,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