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303 vom 20. April 2022</w:t>
      </w:r>
    </w:p>
    <w:p>
      <w:r>
        <w:t>VD Tribunal cantonal, 2022-04-20, FR</w:t>
      </w:r>
    </w:p>
    <w:p>
      <w:r>
        <w:rPr>
          <w:b/>
        </w:rPr>
        <w:t xml:space="preserve">Quelle: </w:t>
      </w:r>
      <w:r>
        <w:t>https://mcp.opencaselaw.ch/entscheid/vd_findinfo_D_cision___2022___303</w:t>
      </w:r>
    </w:p>
    <w:p>
      <w:r>
        <w:t>FR: VD_FINDINFO Décision / 2022 / 303 du 20 avril 2022</w:t>
      </w:r>
    </w:p>
    <w:p>
      <w:r>
        <w:t>IT: VD_FINDINFO Décision / 2022 / 303 del 20 aprile 2022</w:t>
      </w:r>
    </w:p>
    <w:p>
      <w:pPr>
        <w:pStyle w:val="Heading2"/>
      </w:pPr>
      <w:r>
        <w:t>Regeste</w:t>
      </w:r>
    </w:p>
    <w:p>
      <w:r>
        <w:t>MOTIVATION DE LA DEMANDE, DÉCISION D'IRRECEVABILITÉ | 385 al. 1 CPP (CH), 385 al. 2 CPP (CH)</w:t>
      </w:r>
    </w:p>
    <w:p>
      <w:pPr>
        <w:pStyle w:val="Heading2"/>
      </w:pPr>
      <w:r>
        <w:t>Erwägungen</w:t>
      </w:r>
    </w:p>
    <w:p>
      <w:r>
        <w:rPr>
          <w:b/>
        </w:rPr>
        <w:t>E. 1</w:t>
      </w:r>
    </w:p>
    <w:p>
      <w:r>
        <w:t>let. a), pour des motifs incluant en particulier la violation du droit, y compris le déni de justice ou le retard injustifié (al. 2). Il doit être motivé et adressé par écrit (art. 385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1.1</w:t>
      </w:r>
    </w:p>
    <w:p>
      <w:r>
        <w:t>Aux termes de l’art. 393 CPP, le recours est recevable, notamment contre les décisions et les actes de procédure du ministère public, respectivement du Procureur général (al.</w:t>
      </w:r>
    </w:p>
    <w:p>
      <w:r>
        <w:rPr>
          <w:b/>
        </w:rPr>
        <w:t>E. 1.2</w:t>
      </w:r>
    </w:p>
    <w:p>
      <w:r>
        <w:t>En l’espèce, le recours a été déposé en temps utile, auprès de l’autorité compétente, par le prévenu qui a qualité pour recourir (art. 382 al. 1 CPP).</w:t>
      </w:r>
    </w:p>
    <w:p>
      <w:r>
        <w:rPr>
          <w:b/>
        </w:rPr>
        <w:t>E. 2</w:t>
      </w:r>
    </w:p>
    <w:p>
      <w:r>
        <w:t>Le recourant s’oppose à ce que l’ouverture d’une instruction pénale à son encontre soit communiquée au DFJC. Il fait valoir un « risque de mettre en jeu le pronostic vital pour un des membres de [sa] famille ».</w:t>
      </w:r>
    </w:p>
    <w:p>
      <w:r>
        <w:rPr>
          <w:b/>
        </w:rPr>
        <w:t>E. 2.1</w:t>
      </w:r>
    </w:p>
    <w:p>
      <w:r>
        <w:t>Les exigences de motivation du recours sont posées à l’art. 385 al. 1 CPP. Cette disposition prévoit que lorsque le CPP exige que le recours soit motivé, la personne ou l’autorité qui recours doit indiquer précisément les points de la décision qu’elle attaque (let. a), les motifs qui commandent une autre décision (let. b) et les moyens de preuve qu’elle invoque (let. c). Les points de la décision au sens de l’art. 385 al. 1 let. a CPP correspondent aux conclusions, qui ne peuvent viser que les chiffres du dispositif de la décision attaquée. Les conclusions du recours doivent tendre à la modification, respectivement à l’annulation de l’un ou de plusieurs chiffres du dispositif (Keller, in : Donatsch/Lieber/Summers/Wohlers (éd.), Zürcher Kommentar, Kommentar zur Schweizerischen Strafprozessordnung, 3e éd. 2020, n. 13a ad art. 396 StPO ; Sträuli, in : Jeanneret/Kuhn/Perrier Depeursinge (éd.), Commentaire romand, Code de procédure pénale suisse (CR CPP), 2e éd. 2019, n. 20 ad art. 396 CPP ; Guidon, in : Niggli/Heer/Wiprächtiger (éd.), Basler Kommentar, Schweizerische Strafprozessordnung, 2e éd. 2014, n. 9b ad art. 396 StPO). Le recourant doit indiquer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op. cit., n. 1a ad art. 385 CPP). 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Il ne saurait non plus se contenter de renvoyer à une écriture ou aux pièces qu’il avait déposées devant l’instance précédente (TF 1B_318/2021 du 25 janvier 2022 consid. 4.1 ; TF 6B_510/2020 du 15 septembre 2020 consid. 2.2 ; TF 1B_472/2019 du 29 octobre 2019 consid. 3.1 ; TF 6B_120/2016 du 20 juin 2016 consid. 3.1 ; Keller, op. cit., n. 14 ad art. 396 StPO et les réf. cit. ; Guidon, op. cit., n. 9c ad art. 396 StPO et les réf. cit. ; Calame, in : CR CPP, n. 21 ad art. 385 CPP).  Le recourant doit indiquer dans quelle mesure et sous quel angle il entend critiquer l’établissement des faits ou l’application du droit (Calame, in : Kuhn/Jeanneret/Perrier Depeursinge [édit.], op. cit., n. 20 ad art. 385 CPP).</w:t>
      </w:r>
    </w:p>
    <w:p>
      <w:r>
        <w:rPr>
          <w:b/>
        </w:rPr>
        <w:t>E. 2.2</w:t>
      </w:r>
    </w:p>
    <w:p>
      <w:r>
        <w:t>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6B_319/2021 du 15 juillet 2021 consid. 5 ; cf. aussi CREP 11 septembre 2020/694 consid. 4.3.1).</w:t>
      </w:r>
    </w:p>
    <w:p>
      <w:r>
        <w:rPr>
          <w:b/>
        </w:rPr>
        <w:t>E. 2.3</w:t>
      </w:r>
    </w:p>
    <w:p>
      <w:r>
        <w:t>En l’espèce, M.________ ne fait valoir aucune norme (ni conventionnelle, ni constitutionnelle, ni légale, ni règlementaire) qui aurait été violée, ni aucune constatation de fait qui serait incomplète ou erronée. Il se contente de reprendre, en une phrase, le grief qu’il a formulé devant le Ministère public, à savoir la mise en jeu du pronostic vital de l’un des membres de sa famille. Il ne développe aucun moyen concret et spécifique contre la motivation de l’ordonnance du Procureur général à cet égard. En particulier, il ne critique pas la pesée des intérêts opérée par celui-ci ; il ne détaille pas dans quelle mesure un tel pronostic serait engagé, ne produit aucune pièce pour étoffer ses dires, ni ne précise son grief de quelque autre façon que ce soit. Ainsi, l’acte du recourant ne répond manifestement pas aux exigences de motivation de l’art. 385 al. 1 CPP, de sorte qu’il est irrecevable. Ces carences ne sont pas réparables (cf. consid. 2.2 supra).</w:t>
      </w:r>
    </w:p>
    <w:p>
      <w:r>
        <w:rPr>
          <w:b/>
        </w:rPr>
        <w:t>E. 3</w:t>
      </w:r>
    </w:p>
    <w:p>
      <w:r>
        <w:t>Au vu de ce qui précède, le recours doit être déclaré irrecevable, sans échange d’écritures (art. 390 al. 2 CPP). Les frais de la procédure de recours, constitués du seul émolument d’arrêt (art. 422 al. 1 CPP), par 660 fr. (art. 20 al. 1 TFIP [tarif des frais de procédure et indemnités en matière pénale du 28 septembre 2010 ; BLV 312.03.1]), seront mis à la charge de M.________, qui succombe (art. 428 al. 1 CPP). Par ces motifs, la Chambre des recours pénale prononce : I. Le recours est irrecevable. II. Les frais d’arrêt, par 660 fr. (six cent soixante francs), sont mis à la charge de M.________. III. L’arrêt est exécutoire. La présidente :               La greffière : Du Le présent arrêt, dont la rédaction a été approuvée à huis clos, est notifié, par l'envoi d'une copie complète, à : - 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