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291 vom 19. April 2022</w:t>
      </w:r>
    </w:p>
    <w:p>
      <w:r>
        <w:t>VD Tribunal cantonal, 2022-04-19, FR</w:t>
      </w:r>
    </w:p>
    <w:p>
      <w:r>
        <w:rPr>
          <w:b/>
        </w:rPr>
        <w:t xml:space="preserve">Quelle: </w:t>
      </w:r>
      <w:r>
        <w:t>https://mcp.opencaselaw.ch/entscheid/vd_findinfo_D_cision___2022___291</w:t>
      </w:r>
    </w:p>
    <w:p>
      <w:r>
        <w:t>FR: VD_FINDINFO Décision / 2022 / 291 du 19 avril 2022</w:t>
      </w:r>
    </w:p>
    <w:p>
      <w:r>
        <w:t>IT: VD_FINDINFO Décision / 2022 / 291 del 19 aprile 2022</w:t>
      </w:r>
    </w:p>
    <w:p>
      <w:pPr>
        <w:pStyle w:val="Heading2"/>
      </w:pPr>
      <w:r>
        <w:t>Regeste</w:t>
      </w:r>
    </w:p>
    <w:p>
      <w:r>
        <w:t>DÉTENTION PROVISOIRE, RISQUE DE RÉCIDIVE, MESURE DE SUBSTITUTION À LA DÉTENTION, PROPORTIONNALITÉ | 212 al. 3 CPP (CH), 221 al. 1 let. c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à l’exception de ce qui sera dit plus bas (cf. consid. 3.2),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 A l’expiration de la durée de la détention provisoire fixée par le Tribunal des mesures de contrainte, le Ministère public peut demander la prolongation de la détention (art. 227 al. 1 CPP).</w:t>
      </w:r>
    </w:p>
    <w:p>
      <w:r>
        <w:rPr>
          <w:b/>
        </w:rPr>
        <w:t>E. 3.1</w:t>
      </w:r>
    </w:p>
    <w:p>
      <w:r>
        <w:t>La mise en détention provisoire n'est possible que s'il existe à l'égard de l'auteur présumé, et préalablement à toute autre cause, de graves soupçons de culpabilité d'avoir commis un crime ou un délit (ATF 139 IV 186 consid. 2 ; Chaix,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 ATF 143 IV 316 consid. 3.1 et 3.2).</w:t>
      </w:r>
    </w:p>
    <w:p>
      <w:r>
        <w:rPr>
          <w:b/>
        </w:rPr>
        <w:t>E. 3.2</w:t>
      </w:r>
    </w:p>
    <w:p>
      <w:r>
        <w:t>S’agissant de l’existence de forts soupçons de culpabilité, le recourant se réfère aux « explications qu’il a fournies jusqu’alors dans le cadre de l’enquête » et s’en remet à l’autorité de recours pour le surplus. Or, dans la mesure où il ne critique pas concrètement et précisément la motivation du premier juge conformément aux exigences de l’art. 385 al. 1 CPP, ce moyen est irrecevable (CREP 7 avril 2021 consid. 1.2.4). Cela dit, dans son ordonnance du 2 janvier 2022, le premier juge avait déjà indiqué les indices concrets d’existence de graves soupçons de culpabilité à l’encontre du prévenu, à savoir que la victime présentait une blessure de 2 cm sur le cuir chevelu, que le voisin avait entendu des cris, avait vu la victime ensanglantée et avait réussi à calmer l’agresseur en lui assénant des coups de rouleau à pâte, qu’un couteau en deux parties et un gant avaient été retrouvés sur les lieux et que le prévenu, qui présentait un taux d’alcoolémie de 1,15 mg/l, avait été interpellé peu de temps après alors qu’il sortait de chez lui en possession d’un autre couteau de cuisine (p. 5). Dans l’ordonnance querellée, le premier juge a constaté que les sérieux soupçons de culpabilité s’étaient renforcés puisque le recourant avait admis, au cours de sa seconde audition par la police du 14 mars 2022, qu’il avait emporté un couteau de cuisine en sortant de chez lui, qu’il avait frappé la victime (avec le manche du couteau selon ses dires) et que c’était au cours de la bagarre que la lame et le manche du couteau s’étaient séparés. On ajoutera que le prévenu a également admis qu’il s’était rendu chez R.________ dans le but de « s’imposer » pour que celui-ci écoute ce qu’il avait à lui dire, que la procureure a étendu l’enquête pénale à des actes de violence domestique survenus quelques mois avant les actes reprochés et que le fait que le prévenu ait confronté sa fille de douze ans à l’enregistrement vocal d’une relation sexuelle entre sa mère et son compagnon paraissait également pénalement répréhensible.</w:t>
      </w:r>
    </w:p>
    <w:p>
      <w:r>
        <w:rPr>
          <w:b/>
        </w:rPr>
        <w:t>E. 4.1</w:t>
      </w:r>
    </w:p>
    <w:p>
      <w:r>
        <w:t>Le recourant conteste le risque de récidive retenu. Il soutient qu’il convient de contextualiser ses antécédents, à savoir que les condamnations des 30 septembre 2015 et 28 avril 2020 se rapportent à des faits qui se sont déroulés alors qu’il faisait encore ménage commun avec son épouse et que celle-ci aurait également été condamnée pour des actes de violence à son encontre, de sorte que c’est seulement la relation malsaine de leur couple qui recèlerait un potentiel de violence. Le recourant ajoute qu’il a accepté de divorcer et de tourner définitivement la page, qu’il souhaite être suivi psychologiquement et que le Dr A.________, psychologue agréé auprès des tribunaux, a accepté de le prendre en charge dès sa sortie de prison.</w:t>
      </w:r>
    </w:p>
    <w:p>
      <w:r>
        <w:rPr>
          <w:b/>
        </w:rPr>
        <w:t>E. 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Le risque de récidive peut également se fonder sur les infractions faisant l'objet de la procédure pénale en cours, si le prévenu est fortement soupçonné – avec une probabilité confinant à la certitude – de les avoir commises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 TF 1B_182/2020 du 4 mai 2020 consid. 5.1).</w:t>
      </w:r>
    </w:p>
    <w:p>
      <w:r>
        <w:rPr>
          <w:b/>
        </w:rPr>
        <w:t>E. 4.3</w:t>
      </w:r>
    </w:p>
    <w:p>
      <w:r>
        <w:t>En l’espèce, les trois conditions posées par la jurisprudence pour retenir un risque de récidive sont manifestement réunies. D’abord, le recourant a déjà commis des infractions du même genre, ayant été condamné en 2015 pour lésions corporelles simples qualifiées (avec du poison, une arme ou un objet dangereux) et en 2020 pour lésions corporelles simples à l’endroit d’une personne sans défense ou sur laquelle il avait le devoir de veiller. Ensuite, même s’il est vrai que les condamnations des 30 septembre 2015 et 28 avril 2020 se rapportent à des actes qui se sont déroulés alors que le couple faisait ménage commun, cela ne change rien au fait que la sécurité d’autrui demeure sérieusement compromise. En effet, alors que le recourant était pourtant séparé de son épouse depuis plus de deux ans et qu’il savait que le divorce était inéluctable (cf. audition du 31 décembre 2021, R. 4, p. 3), cela ne l’a pas empêché de laisser ses trois enfants en bas âge seuls à la maison en pleine nuit, de se rendre au domicile du compagnon de sa femme pour en découdre et d’asséner à celui-ci à tout le moins un coup de couteau à la tête. C’est dire que même l’écoulement du temps n’a eu aucun effet apaisant sur la capacité du recourant à gérer la séparation d’avec son épouse. De surcroît, il apparaît que cette agression s’inscrit dans un contexte de harcèlement et d’atteinte à la personnalité de S.________ pour plusieurs événements survenus durant l’année 2021. Quoi qu’en dise le recourant, les faits qui lui sont reprochés sont graves, son activité délictueuse s’est aggravée en peu de temps et il paraît incapable de maîtriser ses émotions. Le risque de réitération est par conséquent clairement établi. La question d’un risque de fuite – que le recourant conteste – peut par conséquent demeurer ouverte puisque la réalisation d’un seul des trois risques de l’art. 221 CPP suffit pour maintenir un prévenu en détention provisoire, ces trois hypothèses étant alternatives et non cumulatives (TF 1B_242/2013 du 5 août 2013 consid. 3).</w:t>
      </w:r>
    </w:p>
    <w:p>
      <w:r>
        <w:rPr>
          <w:b/>
        </w:rPr>
        <w:t>E. 5.1</w:t>
      </w:r>
    </w:p>
    <w:p>
      <w:r>
        <w:t>Le recourant soutient que le risque de récidive se rapporte spécifiquement à la situation problématique du couple qu’il formait avec son épouse. Ainsi, à supposer que ce risque soit retenu, il faudrait envisager des mesures ciblées pour le pallier, à savoir une interdiction de périmètre et de prise de contact, assortie du port d’un bracelet électronique, l’obligation d’entreprendre un suivi psychologique, l’obligation de reprendre un travail et l’obligation de verser une caution.</w:t>
      </w:r>
    </w:p>
    <w:p>
      <w:r>
        <w:rPr>
          <w:b/>
        </w:rPr>
        <w:t>E. 5.2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(TF 1B_383/2020 du 13 août 2020 consid. 5.1).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Commentaire romand, Code de procédure pénale suisse, 2 e éd., Bâle 2019, n. 2 ad art. 237 CPP). L'art. 237 al. 3 CPP précise que, pour surveiller l'exécution de ces mesures, le tribunal peut ordonner l'utilisation d'appareils techniques qui peuvent être fixés à la personne sous surveillance. Le port d’un bracelet électronique permet uniquement de constater a posteriori que le prévenu s’est rendu à un endroit dont l’accès lui était interdit, mais ne permet aucunement de prévenir un passage à l’acte ou d’intervenir suffisamment rapidement en cas de besoin (ATF 145 IV 503 consid. 3.3.1 ; CREP 6 mars 2020/171 ; CREP 28 février 2020/149 ; CREP 24 avril 2019/319).</w:t>
      </w:r>
    </w:p>
    <w:p>
      <w:r>
        <w:rPr>
          <w:b/>
        </w:rPr>
        <w:t>E. 5.3</w:t>
      </w:r>
    </w:p>
    <w:p>
      <w:r>
        <w:t>L’argumentation du recourant n’est pas convaincante. Les faits reprochés sont extrêmement graves et laissent supposer une instabilité psychique préoccupante entraînant une impulsivité incontrôlable. En l’état, aucun encadrement n’est en place et on ne dispose d’aucune information de nature médicale susceptible de rassurer quant à son comportement en liberté. Il n’existe pas non plus d’avis d’un expert médical permettant de mettre en œuvre une mesure de substitution ayant les caractéristiques d’une mesure au sens des art. 59 ss CP (cf. TF 1B_91/2021 du 10 mars 2021 consid. 2.3). En outre, le port d’un bracelet électronique permettrait uniquement de constater a posteriori un nouveau passage à l’acte et les interdictions de périmètre et de prise de contact ne reposeraient que sur la bonne volonté du recourant de s’y soumettre, ce qui – au vu des éléments rappelés plus haut – ne saurait suffire. Quant à une éventuelle caution, dont le recourant ne précise pas le montant mais qui devrait à ses dires être constituée par ses proches, il ne s’agit pas d’une mesure propre à garantir que le recourant ne récidive pas ; en effet, selon l’art. 238 al. 1 CPP et la jurisprudence y relative, le dépôt de sûretés ne peut être ordonné que s’il y a danger de fuite et non de récidive (TF 1B_134/2022 du 19 avril 2022 consid. 4.5 et les références). Toutes ces mesures ne permettront donc pas d’atteindre le même but que la détention, à savoir d’empêcher la concrétisation du risque de réitération. Le moyen est infondé.</w:t>
      </w:r>
    </w:p>
    <w:p>
      <w:r>
        <w:rPr>
          <w:b/>
        </w:rPr>
        <w:t>E. 6</w:t>
      </w:r>
    </w:p>
    <w:p>
      <w:r>
        <w:t>Compte tenu de l’infraction de tentative de meurtre, subsidiairement lésions corporelles qualifiées, des antécédents et de tous les autres actes répréhensibles reprochés, la peine privative de liberté encourue par le prévenu est largement supérieure aux six mois de détention qu’il aura subis en date du 30 juin 2022. Le principe de proportionnalité (art. 212 al. 3 CPP) est pleinement respecté.</w:t>
      </w:r>
    </w:p>
    <w:p>
      <w:r>
        <w:rPr>
          <w:b/>
        </w:rPr>
        <w:t>E. 7</w:t>
      </w:r>
    </w:p>
    <w:p>
      <w:r>
        <w:t>Il résulte de ce qui précède que le recours, manifestement mal fondé, doit être rejeté sans échange d'écritures (art. 390 al. 2 CPP) et l'ordonnance entreprise confirmée. Les frais de la procédure de recours sont fixés à 1’210 fr. (art. 20 al. 1 TFIP [tarif des frais de procédure et indemnités en matière pénale du 28 septembre 2010 ; BLV 312.03.1]). Au vu du travail accompli par Me Adam Kasmi, défenseur d'office du recourant, il sera retenu 3 h d'activité au tarif horaire de 180 fr. (art. 2 al. 1 let. a et 3 al. 2 RAJ [règlement sur l'assistance judiciaire en matière civile du 7 décembre 2010 ; BLV 211.02.3] par renvoi de l'art. 26b TFIP), soit 540 francs. S'y ajoutent 2 % pour les débours (art. 3bis al. 1 RAJ par renvoi de l'art. 26b TFIP) et 7,7 % de TVA sur le tout, de sorte que l'indemnité d'office s'élève au total à 593 fr. en chiffres ronds.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dans la mesure où il est recevable. II. L’ordonnance du 28 mars 2022 est confirmée. III. L'indemnité allouée à Me Adam Kasmi, défenseur d'office de X.________, est fixée à 593 fr. (cinq cent nonante-trois francs). IV. Les frais d'arrêt, par 1'210 fr. (mille deux cent dix francs), ainsi que l'indemnité allouée à Me Adam Kasmi, par 593 fr. (cinq cent nonante-trois francs), sont mis à la charge de X.________. V. Le remboursement à l'Etat de l'indemnité allouée sous chiffre III ci-dessus ne sera exigible de X.________ que pour autant que sa situation financière le permette. VI. L’arrêt est exécutoire. La présidente : La greffière : Du Le présent arrêt, dont la rédaction a été approuvée à huis clos, est notifié, par l'envoi d'une copie complète, à : - Me Adam Kasmi, avocat (pour X.________), - Ministère public central, et communiqué à : - Mme la Présidente du Tribunal des mesures de contrainte, - Mme la Procureure du Ministère public de l’arrondissement de Lausanne, - Me Marianne Fabarez-Vogt, avocate (pour S.________ et R.________),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