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278 vom 22. März 2022</w:t>
      </w:r>
    </w:p>
    <w:p>
      <w:r>
        <w:t>VD Tribunal cantonal, 2022-03-22, FR</w:t>
      </w:r>
    </w:p>
    <w:p>
      <w:r>
        <w:rPr>
          <w:b/>
        </w:rPr>
        <w:t xml:space="preserve">Quelle: </w:t>
      </w:r>
      <w:r>
        <w:t>https://mcp.opencaselaw.ch/entscheid/vd_findinfo_D_cision___2022___278</w:t>
      </w:r>
    </w:p>
    <w:p>
      <w:r>
        <w:t>FR: VD_FINDINFO Décision / 2022 / 278 du 22 mars 2022</w:t>
      </w:r>
    </w:p>
    <w:p>
      <w:r>
        <w:t>IT: VD_FINDINFO Décision / 2022 / 278 del 22 marzo 2022</w:t>
      </w:r>
    </w:p>
    <w:p>
      <w:pPr>
        <w:pStyle w:val="Heading2"/>
      </w:pPr>
      <w:r>
        <w:t>Regeste</w:t>
      </w:r>
    </w:p>
    <w:p>
      <w:r>
        <w:t>DÉCISION D'IRRECEVABILITÉ, ABUS D'AUTORITÉ, ADMISSION DE LA DEMANDE | 312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w:t>
      </w:r>
    </w:p>
    <w:p>
      <w:r>
        <w:rPr>
          <w:b/>
        </w:rPr>
        <w:t>E. 2</w:t>
      </w:r>
    </w:p>
    <w:p>
      <w:r>
        <w:t>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dans les formes prescrites (art. 385 al. 1 CPP), le recours est recevable.</w:t>
      </w:r>
    </w:p>
    <w:p>
      <w:r>
        <w:rPr>
          <w:b/>
        </w:rPr>
        <w:t>E. 2.1</w:t>
      </w:r>
    </w:p>
    <w:p>
      <w:r>
        <w:t>Dans un grief formel qu’il convient d’examiner en premier, la recourante affirme que l’ordonnance entreprise viole son droit d'être entendue dès lors qu'elle n'a pas pu amener la preuve notamment que l'usage de la force par la police serait disproportionné.</w:t>
      </w:r>
    </w:p>
    <w:p>
      <w:r>
        <w:rPr>
          <w:b/>
        </w:rPr>
        <w:t>E. 2.2</w:t>
      </w:r>
    </w:p>
    <w:p>
      <w:r>
        <w:t>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6B_290/2020 du 17 juillet 2020 consid. 2.2 ; TF 6B_1385/2019 du 27 février 2020 consid. 1.1 et la référence citée ; TF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6B_138/2021 du 23 septembre 2021 consid. 3.1 ; TF 6B_191/2021 11 août 2021 consid. 7.2.2 ; TF 6B_70/2021 12 juillet 2021 consid. 3.2.2).</w:t>
      </w:r>
    </w:p>
    <w:p>
      <w:r>
        <w:rPr>
          <w:b/>
        </w:rPr>
        <w:t>E. 2.3</w:t>
      </w:r>
    </w:p>
    <w:p>
      <w:r>
        <w:t>Conformément à la jurisprudence rappelée ci-dessus (cf. consid. 2.2 supra), et dans la mesure où le Ministère public n’a pas ouvert d’enquête ensuite de la plainte déposée par la recourante, cette dernière n’avait pas le droit de participer à l’administration des preuves, son droit d’être entendu pouvant, dans ce cas de figure, s’exercer lors du recours devant la Chambre de céans, qui dispose d’un plein pouvoir d’examen en fait et en droit. Le grief, mal fondé, doit être rejeté.</w:t>
      </w:r>
    </w:p>
    <w:p>
      <w:r>
        <w:rPr>
          <w:b/>
        </w:rPr>
        <w:t>E. 3.1</w:t>
      </w:r>
    </w:p>
    <w:p>
      <w:r>
        <w:t>La recourante fait valoir que la décision entreprise est fondée sur le rapport de police établi par Police Riviera dans le cadre de la procédure PE[...] et qu'elle se borne à retenir la version de la police sans instruire la plainte. Elle soutient que l’ordonnance entreprise a été rendue en violation de l’art. 310 CPP et du principe in dubio pro duriore , affirmant que les faits dénoncés dans sa plainte ne sont pas d'emblée infondés, de sorte qu'une enquête doit être ouverte et des témoins entendus.</w:t>
      </w:r>
    </w:p>
    <w:p>
      <w:r>
        <w:rPr>
          <w:b/>
        </w:rPr>
        <w:t>E. 3.2.1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w:t>
      </w:r>
    </w:p>
    <w:p>
      <w:r>
        <w:rPr>
          <w:b/>
        </w:rPr>
        <w:t>E. 3.2.2</w:t>
      </w:r>
    </w:p>
    <w:p>
      <w:r>
        <w:t>L'art. 3 CEDH interdit la torture ainsi que les traitements inhumains ou dégradants. Cette disposition, combinée avec l'art. 1 ou avec l'art. 13 CEDH,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(cf. ATF 131 I 455 consid. 1.2.5 ; TF 1B_771/2012 du 20 août 2013 consid. 2.1 et les références citées). Le droit à une enquête officielle approfondie et effective découlant des art. 3 et 13 CEDH fonde une obligation de moyens, non de résultat.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 3 CEDH. Par ailleurs, les autorités doivent agir avec célérité et diligence (cf. arrêt de la CourEDH Abdu contre Bulgarie du 11 mars 2014, par. 43 ; TF 6B_174/2019 du 21 février 2019 consid. 2.1 ; TF 6B_1085/2017 du 28 mai 2018 consid. 3.2 et les références citées).</w:t>
      </w:r>
    </w:p>
    <w:p>
      <w:r>
        <w:rPr>
          <w:b/>
        </w:rPr>
        <w:t>E. 3.2.3</w:t>
      </w:r>
    </w:p>
    <w:p>
      <w:r>
        <w:t>L'art. 312 CP (Code pénal suisse du 21 décembre 1937 ; RS 311.0)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 l'abus est également réalisé lorsque l'auteur poursuit un but légitime mais recourt, pour l'atteindre, à des moyens disproportionnés (ATF 127 IV 209 consid. 1a/aa et b ss et les références citées ; TF 6B_433/2020 du 24 août 2020 consid. 1.2.1 ; TF 6B_1085/2017 du 28 mai 2018 consid. 3.4).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 TF 6B_1012/2017 du 23 mars 2018 consid. 1.1 et les références citées). Il faut admettre que l'auteur nuit à autrui dès qu'il utilise des moyens excessifs, même s'il poursuit un but légitime. Le motif pour lequel l'auteur agit est ainsi sans pertinence sur l'intention, mais a trait à l'examen de la culpabilité (TF 6B_1012/2017 du 23 mars 2018 consid. 1 ; TF 6B_923/2015 du 24 mai 2016 consid. 2.2 et les références citées).</w:t>
      </w:r>
    </w:p>
    <w:p>
      <w:r>
        <w:rPr>
          <w:b/>
        </w:rPr>
        <w:t>E. 3.2.4</w:t>
      </w:r>
    </w:p>
    <w:p>
      <w:r>
        <w:t>Selon l'art. 14 CP, quiconque agit comme la loi l'ordonne ou l'autorise se comporte de manière licite, même si l'acte est punissable en vertu du CP ou d'une autre loi. Même autorisé par la loi, l'acte commis dans l'accomplissement d'un devoir de fonction doit être proportionné à son but. Pour respecter la proportionnalité, il faut pondérer les valeurs qui entrent en considération : d'une part, la fin poursuivie par l'auteur,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381 consid. 4.5 ; ATF 140 I 218 consid. 6.7.1 ; ATF 137 1167 consid. 3.6, TF 6B_1085/2017 du 28 mai 2018 consid. 3.3).</w:t>
      </w:r>
    </w:p>
    <w:p>
      <w:r>
        <w:rPr>
          <w:b/>
        </w:rPr>
        <w:t>E. 3.3</w:t>
      </w:r>
    </w:p>
    <w:p>
      <w:r>
        <w:t>En l'espèce, il ressort des pièces du dossier qu’en lien avec les faits objets de la présente procédure, l'agent de police Z.________ a déposé plainte contre la recourante le 19 mars 2020, pour voies de fait et injures (P. 8/5). Cette plainte - ainsi que celle déposée par C.________ le 20 mars 2020 (P. 8/1) – ont été instruites sous la référence PE[...]. La recourante a été condamnée par ordonnance pénale rendue le 29 juillet 2021, à laquelle elle a fait opposition. Par jugement du 11 février 2022, le Tribunal de police de l’arrondissement de l’Est vaudois a notamment confirmé la condamnation de D.________. Cette dernière a déposé un appel contre ce jugement auprès de la Cour d’appel pénale. La procédure est toujours pendante. Or, s'il est établi que la recourante a été oppositionnelle, cela n'implique pas d'emblée que l'usage de la force a été proportionné. Compte tenu des lésions qu'elle a subies dans le cadre d'une intervention policière, qui concernait en premier lieu une altercation entre son fils et un tiers, il y a lieu d'ouvrir une instruction pour établir les faits. En effet, il convient d’examiner la proportionnalité de l'activité policière dans le cadre d'une instruction lors de laquelle le droit d'être entendu de la recourante pourra être exercé. Tel a été au demeurant le cas pour les événements antérieurs au moment où la police a dû faire usage de la force à son encontre et qui ont été dénoncés par Z.________ et par C.________. Dans le cadre de l'instruction, des témoins pourront être entendus, notamment les autres agents de police présents lors des faits. Il y a aura également lieu de verser au dossier l'extrait du journal de police afin de vérifier si, comme elle l'affirme, la recourante a elle-même appelé la police ce 19 mars 2020. 4. En définitive, le recours doit être admis et l’ordonnance entreprise annulée. Le dossier de la cause sera renvoyé au Ministère public pour qu’il ouvre une instruction pénale et procède dans le sens des considérants. Vu l’admission du recours, les frais de la procédure, constitués en l’espèce du seul émolument d'arrêt, par 1’100 fr. (art. 20 al. 1 TFIP [Tarif des frais de procédure et indemnités en matière pénale du 28 septembre 2010 ; BLV 312.03.1]), seront laissés à la charge de l’Etat (art. 428 al. 4 CPP). La demande de Me Kathrin Grüber d’être désignée comme conseil d’office de D.________ n’a pas fait l’objet d’une décision formelle en première instance et elle n’a pas renouvelé celle-ci en recours ; il convient ainsi de retenir que l’avocate intervient comme conseil de choix dans la procédure de recours. La recourante, qui a obtenu gain de cause, a droit à une indemnité pour les dépenses occasionnées par la procédure de recours (art. 433 al. 1 let. a CPP). Au vu du mémoire déposé et de la nature de l’affaire, cette indemnité sera fixée à 900 fr., correspondant à trois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Elle sera laissée à la charge de l’Etat, en l’absence de partie succombante (ATF 138 IV 248 consid. 5.3, JdT 2013 IV 151). Par ces motifs, la Chambre des recours pénale prononce : I. Le recours est admis. II. L’ordonnance du 15 octobre 2021 est annulée. III. Le dossier de la cause est renvoyé au Ministère public central, division affaires spéciales, pour qu’il procède dans le sens des considérants. IV. Les frais d’arrêt, par 1’100 fr. (mille cent francs), sont laissés à la charge de l’Etat. V. Une indemnité de 989 fr. (neuf cent huitante-neuf francs) est allouée à D.________ pour les dépenses occasionnées par la procédure de recours, à la charge de l’Etat. VI. L’arrêt est exécutoire. Le président :               La greffière : Du Le présent arrêt, dont la rédaction a été approuvée à huis clos, est notifié, par l'envoi d'une copie complète, à : - Me Kathrin Grüber, avocate (pour D.________) ,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