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259 vom 7. April 2022</w:t>
      </w:r>
    </w:p>
    <w:p>
      <w:r>
        <w:t>VD Tribunal cantonal, 2022-04-07, FR</w:t>
      </w:r>
    </w:p>
    <w:p>
      <w:r>
        <w:rPr>
          <w:b/>
        </w:rPr>
        <w:t xml:space="preserve">Quelle: </w:t>
      </w:r>
      <w:r>
        <w:t>https://mcp.opencaselaw.ch/entscheid/vd_findinfo_D_cision___2022___259</w:t>
      </w:r>
    </w:p>
    <w:p>
      <w:r>
        <w:t>FR: VD_FINDINFO Décision / 2022 / 259 du 7 avril 2022</w:t>
      </w:r>
    </w:p>
    <w:p>
      <w:r>
        <w:t>IT: VD_FINDINFO Décision / 2022 / 259 del 7 aprile 2022</w:t>
      </w:r>
    </w:p>
    <w:p>
      <w:pPr>
        <w:pStyle w:val="Heading2"/>
      </w:pPr>
      <w:r>
        <w:t>Regeste</w:t>
      </w:r>
    </w:p>
    <w:p>
      <w:r>
        <w:t>DÉTENTION PROVISOIRE, RISQUE DE FUITE, RISQUE DE COLLUSION, MESURE DE SUBSTITUTION À LA DÉTENTION, PROLONGATION | 221 al. 1 let. a CPP (CH), 221 al. 1 let. b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ne conteste pas, à juste titre, l’existence de soupçons suffisants de commission d’un crime ou d’un délit à son encontre. Il conteste en revanche le risque de collusion retenu par le premier juge, faisant valoir que celui-ci serait purement théorique dès lors que les faits qui lui sont reprochés remonteraient à 2019, qu’il serait au courant de la procédure dirigée contre X.________ depuis 2020, qu’il aurait collaboré à l’enquête et que la direction de la procédure détiendrait déjà les éléments nécessaires à établir la vérité.</w:t>
      </w:r>
    </w:p>
    <w:p>
      <w:r>
        <w:rPr>
          <w:b/>
        </w:rPr>
        <w:t>E. 3.2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1B_687/2021 du 11 janvier 2022 consid. 4.1).</w:t>
      </w:r>
    </w:p>
    <w:p>
      <w:r>
        <w:rPr>
          <w:b/>
        </w:rPr>
        <w:t>E. 3.3</w:t>
      </w:r>
    </w:p>
    <w:p>
      <w:r>
        <w:t>En l’espèce, quand bien même une enquête est ouverte depuis 2019 et le recourant a collaboré dans une certaine mesure à la procédure ouverte à son encontre, l’ampleur du trafic et en particulier de l’activité délictueuse du prévenu doivent encore être précisément déterminées. Pour ce faire, il conviendra encore de procéder, sur la base des résultats des analyses de l’extraction du téléphone cellulaire et des comptes bancaires du recourant qui sont en cours, aux auditions de bon nombre de ses contacts. Dans ces circonstances, maintenant qu’il se sait personnellement sous le coup d’une enquête pour trafic de produits dopants, le risque est élevé qu’il cherche à interférer dans l’instruction, notamment en prenant contact avec les autres personnes impliquées dans ce trafic afin de minimiser son implication en tentant d’influencer leurs déclarations. Au vu de ces éléments, c’est à juste titre que le risque de collusion a été retenu.</w:t>
      </w:r>
    </w:p>
    <w:p>
      <w:r>
        <w:rPr>
          <w:b/>
        </w:rPr>
        <w:t>E. 4</w:t>
      </w:r>
    </w:p>
    <w:p>
      <w:r>
        <w:t>mars 2022 consid. 4.1).</w:t>
      </w:r>
    </w:p>
    <w:p>
      <w:r>
        <w:rPr>
          <w:b/>
        </w:rPr>
        <w:t>E. 4.1</w:t>
      </w:r>
    </w:p>
    <w:p>
      <w:r>
        <w:t>Le recourant conteste également l’existence d’un risque de fuite. Il fait valoir que l’essentiel de sa vie sociale se trouverait en Suisse, pays dans lequel il est établi au bénéfice d’un permis C et où vivraient la majeure partie de sa famille ainsi que sa nouvelle compagne, où il bénéficierait d’un suivi médical et psychiatrique et où il aurait déposé une demande auprès de l’assurance invalidité. Il relève en outre qu’il aurait eu tout loisir de quitter définitivement la Suisse dès qu’il aurait eu connaissance de l’ouverture d’une instruction pénale, ce qu’il n’aurait pourtant pas fait.</w:t>
      </w:r>
    </w:p>
    <w:p>
      <w:r>
        <w:rPr>
          <w:b/>
        </w:rPr>
        <w:t>E. 4.2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w:t>
      </w:r>
    </w:p>
    <w:p>
      <w:r>
        <w:rPr>
          <w:b/>
        </w:rPr>
        <w:t>E. 4.3</w:t>
      </w:r>
    </w:p>
    <w:p>
      <w:r>
        <w:t>En l’espèce, même si le recourant, de nationalité turque, vit en Suisse au bénéfice d’un permis d’établissement, il a de solides attaches avec son pays d’origine, dans lequel il a encore de la famille, dispose de plusieurs comptes en banque, où il retourne très régulièrement et où il a même envisagé de s’établir à nouveau. S’il partage certes un appartement à Zurich avec sa compagne, ses attaches avec la Suisse semblent s’arrêter là, le recourant n’ayant en particulier aucun emploi dans ce pays, où il vit de l’aide sociale depuis plusieurs années. A cet égard, il y a lieu de relever que seul son signalement au RIPOL a permis son arrestation à l’aéroport de Zurich, à son retour de Turquie. Par ailleurs, le fait qu’il n’ait pas quitté définitivement la Suisse jusqu’à présent ne permet pas de retenir, contrairement à ce qu’il soutient, qu’il n’existerait pas un risque de fuite concret. S’il a pu avoir connaissance de l’audition de X.________ en 2019, il ignorait en effet l’existence et l’ampleur de l’enquête pénale ouverte à son encontre jusqu’à son arrestation au mois de janvier 2022. La manière dont il s’est comporté précédemment n’est donc pas déterminante. Ainsi, au regard des charges qui pèsent contre lui et de la peine à laquelle il s’expose, le risque qu’il prenne la fuite pour se rendre en Turquie ou qu’il entre dans la clandestinité pour échapper à la procédure pénale ouverte à son encontre est important. Partant, c’est à raison que le Tribunal des mesures de contrainte a considéré que le risque de fuite était concret.</w:t>
      </w:r>
    </w:p>
    <w:p>
      <w:r>
        <w:rPr>
          <w:b/>
        </w:rPr>
        <w:t>E. 5.1</w:t>
      </w:r>
    </w:p>
    <w:p>
      <w:r>
        <w:t>Le recourant soutient, dans sa conclusion subsidiaire, qu’une mesure de substitution à forme du maintien de son passeport en mains de la direction de la procédure permettrait d’écarter le risque de fuite retenu.</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w:t>
      </w:r>
    </w:p>
    <w:p>
      <w:r>
        <w:rPr>
          <w:b/>
        </w:rPr>
        <w:t>E. 5.3</w:t>
      </w:r>
    </w:p>
    <w:p>
      <w:r>
        <w:t>La Chambre de céans considère, à l’instar du premier juge, que la mesure de substitution proposée par le recourant n’est pas susceptible de prévenir efficacement les risques constatés et qu’aucune autre mesure n’est à même de les pallier valablement. S’agissant du risque de fuite,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n’est pas de nature à prévenir un départ à l'étranger ou une entrée dans la clandestinité, mais uniquement à le constater a posteriori (TF 1B_66/2022 du 28 février 2022 consid. 4.1 ; TF 1B_158/2021 du 20 avril 2021 consid. 3.5 ; TF 1B_220/2020 du 26 mai 2020 consid. 5.2 ; cf. également ATF 145 IV 503 consid. 3.3.1). Quant au risque de collusion, la Chambre de céans ne distingue à ce stade aucune mesure propre à l’écarter et le recourant n’en propose au demeurant aucune. Compte tenu de ce qui précède, la mesure de substitution proposée par le recourant n’apparaît pas apte à prévenir efficacement les risques retenus et la Chambre de céans ne voit pas d’autre mesure de substitution susceptible de constituer une garantie suffisante à ce stade. Pour le surplus, le recourant s’expose concrètement, au regard des faits qui lui sont reprochés, à une peine d’une durée nettement supérieure à la période de détention provisoire qu’il a subie à ce jour, respectivement qu’il aura subie le 27 juin 2022, de sorte que le principe de la proportionnalité demeure pleinement respecté (art. 212 al. 3 CPP ; ATF 143 IV 168 consid. 5.1). En effet, l’art. 22 LEsp prévoit que l’infraction grave est réprimée par une peine privative de liberté de cinq ans au plus (al. 2), tandis que l’infraction simple l’est par une peine privative de liberté de trois ans au plus ou par une peine pécuniaire (al. 1).</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G.________ sera fixée à 360 fr., correspondant à une activité nécessaire d’avocat de deux heures au tarif horaire de 180 fr., montant auquel il convient d’ajouter des débours forfaitaires à concurrence de 2 % (art. 3 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1’100 fr. (art. 20 al. 1 TFIP), et des frais imputables à la défense d’office de G.________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24 mars 2022 est confirmée. III. L’indemnité allouée au défenseur d’office de G.________ est fixée à 396 fr. (trois cent nonante-six francs). IV. Les frais d’arrêt, par 1’100 fr. (mille cent francs), ainsi que l’indemnité due au défenseur d’office du recourant, par 396 fr. (trois cent nonante-six francs), sont mis à la charge de G.________. V. Le remboursement à l’Etat de l’indemnité allouée au chiffre III ci-dessus ne sera exigible que pour autant que la situation financière de G.________ le permette. VI. L’arrêt est exécutoire. La présidente :               La greffière : Du Le présent arrêt, dont la rédaction a été approuvée à huis clos, est notifié, par l'envoi d'une copie complète, à : - Me Gaëtan-Charles Barraud, avocat (pour G.________), - Ministère public central,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