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252 vom 9. März 2022</w:t>
      </w:r>
    </w:p>
    <w:p>
      <w:r>
        <w:t>VD Tribunal cantonal, 2022-03-09, FR</w:t>
      </w:r>
    </w:p>
    <w:p>
      <w:r>
        <w:rPr>
          <w:b/>
        </w:rPr>
        <w:t xml:space="preserve">Quelle: </w:t>
      </w:r>
      <w:r>
        <w:t>https://mcp.opencaselaw.ch/entscheid/vd_findinfo_D_cision___2022___252</w:t>
      </w:r>
    </w:p>
    <w:p>
      <w:r>
        <w:t>FR: VD_FINDINFO Décision / 2022 / 252 du 9 mars 2022</w:t>
      </w:r>
    </w:p>
    <w:p>
      <w:r>
        <w:t>IT: VD_FINDINFO Décision / 2022 / 252 del 9 marzo 2022</w:t>
      </w:r>
    </w:p>
    <w:p>
      <w:pPr>
        <w:pStyle w:val="Heading2"/>
      </w:pPr>
      <w:r>
        <w:t>Regeste</w:t>
      </w:r>
    </w:p>
    <w:p>
      <w:r>
        <w:t>NON-LIEU | 310 CPP (CH)</w:t>
      </w:r>
    </w:p>
    <w:p>
      <w:pPr>
        <w:pStyle w:val="Heading2"/>
      </w:pPr>
      <w:r>
        <w:t>Erwägungen</w:t>
      </w:r>
    </w:p>
    <w:p>
      <w:r>
        <w:rPr>
          <w:b/>
        </w:rPr>
        <w:t>E. 1</w:t>
      </w:r>
    </w:p>
    <w:p>
      <w:r>
        <w:t>Interjeté dans le délai légal (art. 310 al. 2, 322 al. 2 et 396 al. 1 CPP [Code de procédure pénale suisse du 5 octobre 2007 ; RS 312.0]), contre une décision du Ministère public (art. 393 al. 1 let. a CPP), par le plaignant qui a qualité pour recourir (art. 382 al. 1 CPP) et dans les formes prescrites (art. 385 al. 1 CPP), le recours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et les références). Dans le doute, lorsque les conditions d'une non-entrée en matière ne sont pas réalisées avec une certitude absolue, l'instruction doit être ouverte (TF 6B_196/2020 précité consid. 3.1 et les références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et les références).</w:t>
      </w:r>
    </w:p>
    <w:p>
      <w:r>
        <w:rPr>
          <w:b/>
        </w:rPr>
        <w:t>E. 3.1</w:t>
      </w:r>
    </w:p>
    <w:p>
      <w:r>
        <w:t>et les références).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rPr>
          <w:b/>
        </w:rPr>
        <w:t>E. 3.2.1</w:t>
      </w:r>
    </w:p>
    <w:p>
      <w:r>
        <w:t>Le Code pénal est applicable à quiconque commet un crime ou un délit en Suisse (art. 3 al. 1 CP).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références).</w:t>
      </w:r>
    </w:p>
    <w:p>
      <w:r>
        <w:rPr>
          <w:b/>
        </w:rPr>
        <w:t>E. 3.2.2</w:t>
      </w:r>
    </w:p>
    <w:p>
      <w:r>
        <w:t>Aux termes de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consid. 2.2.2, JdT 2017 IV 75 ; ATF 135 IV 76 consid. 5.2).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consid. 2.2.2 in fine, JdT 2017 IV 75 et la jurisprudence citée).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L'escroquerie ne sera consommée que s'il y a un dommage (TF 6B_139/2016 du 21 novembre 2016 consid.</w:t>
      </w:r>
    </w:p>
    <w:p>
      <w:r>
        <w:rPr>
          <w:b/>
        </w:rPr>
        <w:t>E. 3.2.3</w:t>
      </w:r>
    </w:p>
    <w:p>
      <w:r>
        <w:t>L'escroquerie est un délit matériel à double résultat ( kupiertes Erfolgsdelikt )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TF 6B_1335/2018 du 28 février 2019 consid. 4.4.2 ; TF 6B_436/2014 du 2 mars 2015 consid. 1.2.1).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ou le fait qu'un compte ouvert en Suisse appartenant à une société ayant son siège en Suisse ne soit pas, à la suite d'une escroquerie, crédité des actifs convenus (ATF 141 IV 336 consid. 1.1 ; TF 6B_549/2013 du 25 février 2014 consid. 5.1). De manière générale, il suffit que l'un des éléments constitutifs de l'infraction ait été exécuté en Suisse pour qu'une infraction puisse être considérée comme réalisée en Suisse (Harari/Liniger Gros, Commentaire romand, Code pénal I, Bâle 2009, n. 12 ad art. 8 CP ; CREP 16 mai 2018/367 consid. 3.2).</w:t>
      </w:r>
    </w:p>
    <w:p>
      <w:r>
        <w:rPr>
          <w:b/>
        </w:rPr>
        <w:t>E. 3.3</w:t>
      </w:r>
    </w:p>
    <w:p>
      <w:r>
        <w:t>En l’espèce, c’est à juste titre que le Ministère public a dénié sa compétence ratione loci concernant le contrat conclu en 2019 entre le recourant et la société S.________ au Portugal, dans la mesure où aucun rattachement ne pouvait être fait avec la Suisse. La compétence à raison du lieu doit en revanche être reconnue en ce qui concerne les deux contrats d’entreprise conclus entre le recourant et la société W.________Sàrl le 16 février 2021. En effet, ces deux documents ont été soumis au recourant sur le papier à entête de la société W.________Sàrl, sise alors à Yverdon-les-Bains et dont C.________ était le seul associé gérant avec signature individuelle ; les deux contractants étaient domiciliés en Suisse ; le recourant a produit un avis de crédit de la Banque Cantonale Vaudoise daté du 1 er avril 2021 attestant d’un versement de 5'000 euros en faveur de C.________ et d’autres acomptes semblent avoir été versés en Suisse. Ces éléments suffisent pour retenir un rattachement avec la Suisse. Il reste que rien ne permet d’affirmer que le litige soit de nature pénale. Les parties se connaissent depuis quelques années. En effet, avec sa lettre du 12 mai 2021, le recourant a envoyé à C.________ une facture datant du 6 décembre 2016 du garage Carrosserie du Terminus, dont il était alors le propriétaire, pour un solde à payer de 1'445 fr. 25 (P. 5/7). Le 3 juin 2021, C.________ a contesté devoir cette somme (P. 5/8). Puis, avec sa lettre du 23 août 2021 (P. 5/5, p. 2), le recourant a produit la copie de deux messages WhatsApp du 3 juillet 2019, en portugais, indiquant qu’il aurait prêté 1'400 fr. à C.________. Le recourant aurait versé un acompte de 9'000 euros à la signature des deux contrats d’entreprise en février/mars 2021 (soit 5'000 euros pour les travaux intérieurs et 4'000 euros pour les travaux extérieurs), puis un acompte supplémentaire de 8'000 euros en urgence le 1 er avril 2021. Le 12 mai 2021, le recourant a réclamé à C.________ le remboursement de 14'000 euros vu que tous les travaux n’auraient pas été faits et a menacé de le dénoncer à la police du commerce et à l’office des impôts s’il n’était pas payé. Le 23 juin 2021, C.________ a déposé une plainte pénale contre le recourant pour diffamation, subsidiairement calomnie, lui reprochant d’avoir dit à son employeur en Suisse qu’il travaillait au Portugal, alors qu’il était en congé maladie, ce qui a entraîné son licenciement avec effet immédiat. On ne discerne pas en quoi les événements de 2021 seraient liés à ceux de 2019 alors que le recourant semble faire un lien entre ceux-ci. Par ailleurs, le fait que C.________ ait exécuté partiellement les deux contrats d’entreprise ou ait pris du retard dans leur exécution ne signifie manifestement pas qu’il n’avait pas la volonté de les exécuter ou qu’il avait la volonté de les exécuter partiellement dès leur conclusion le 16 février 2021. Le recourant a en effet reconnu qu’une partie des travaux avait été effectuée, pour un montant de 3'000 euros selon lui, et il est établi qu’il a contacté l’employeur de C.________ depuis le Portugal et écrit la lettre du 12 mai 2021 à son retour en Suisse. Pour sa part, C.________ a déclaré qu’il avait arrêté les travaux à partir du moment où le recourant avait commencé à le menacer et à « raconter des mensonges » à son égard. Le litige entre les parties semble donc être issu d’un retard dans l’exécution des travaux, du contact que le recourant a eu avec l’employeur de C.________ et des prétentions contenues dans la lettre du 12 mai 2021. Vu que les parties se connaissaient avant la signature des deux contrats d’entreprise du 16 février 2021 et compte tenu de la brève période écoulée entre le versement du dernier acompte le 1 er avril 2021 et la prise de contact du recourant avec l’employeur de C.________, on voit mal que ce dernier aurait pu par un édifice de mensonges inciter le recourant à lui avancer de l’argent pour des travaux qu’il n’entendait pas réaliser. Dans ces circonstances, rien ne permet d’affirmer que le fait que C.________ n’ait exécuté que partiellement les travaux ou refuserait de les terminer, ou encore qu’il refuserait de restituer les acomptes, implique qu’il avait d’emblée la volonté de ne pas exécuter les travaux de février/mars/avril 2021 et qu’il a perçu les acomptes en sachant qu’il n’exécuterait pas les travaux ou en sachant qu’il ne les affecterait pas aux travaux. Le litige est ainsi purement civil.</w:t>
      </w:r>
    </w:p>
    <w:p>
      <w:r>
        <w:rPr>
          <w:b/>
        </w:rPr>
        <w:t>E. 4</w:t>
      </w:r>
    </w:p>
    <w:p>
      <w:r>
        <w:t>Il résulte de ce qui précède que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de X.________, qui succombe (art. 428 al. 1 CPP). Par ces motifs, la Chambre des recours pénale prononce : I. Le recours est rejeté. II. L’ordonnance du 9 décembre 2021 est confirmée. III. Les frais d’arrêt, par 1'100 fr. (mille cent francs), sont mis à la charge de X.________. IV. L’arrêt est exécutoire. Le président :              La greffière : Du Le présent arrêt, dont la rédaction a été approuvée à huis clos, est notifié, par l'envoi d'une copie complète, à : - Me Jean-Nicolas Roud, avocat (pour X.________), - Me Cyrielle Kern, avocate (pour C.________), - Ministère public central, et communiqué à :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