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248 vom 4. April 2022</w:t>
      </w:r>
    </w:p>
    <w:p>
      <w:r>
        <w:t>VD Tribunal cantonal, 2022-04-04, FR</w:t>
      </w:r>
    </w:p>
    <w:p>
      <w:r>
        <w:rPr>
          <w:b/>
        </w:rPr>
        <w:t xml:space="preserve">Quelle: </w:t>
      </w:r>
      <w:r>
        <w:t>https://mcp.opencaselaw.ch/entscheid/vd_findinfo_D_cision___2022___248</w:t>
      </w:r>
    </w:p>
    <w:p>
      <w:r>
        <w:t>FR: VD_FINDINFO Décision / 2022 / 248 du 4 avril 2022</w:t>
      </w:r>
    </w:p>
    <w:p>
      <w:r>
        <w:t>IT: VD_FINDINFO Décision / 2022 / 248 del 4 aprile 2022</w:t>
      </w:r>
    </w:p>
    <w:p>
      <w:pPr>
        <w:pStyle w:val="Heading2"/>
      </w:pPr>
      <w:r>
        <w:t>Regeste</w:t>
      </w:r>
    </w:p>
    <w:p>
      <w:r>
        <w:t>REJET DE LA DEMANDE, RISQUE DE RÉCIDIVE, MESURE DE SUBSTITUTION À LA DÉTENTION | 221 al. 1 let. c CPP (CH), 230 CPP (CH), 237 CPP (CH)</w:t>
      </w:r>
    </w:p>
    <w:p>
      <w:pPr>
        <w:pStyle w:val="Heading2"/>
      </w:pPr>
      <w:r>
        <w:t>Erwägungen</w:t>
      </w:r>
    </w:p>
    <w:p>
      <w:r>
        <w:rPr>
          <w:b/>
        </w:rPr>
        <w:t>E. 1</w:t>
      </w:r>
    </w:p>
    <w:p>
      <w:r>
        <w:t>CPP) et dans les formes prescrites (art. 385 al. 1 CPP), le recours est recevable.</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24 août 2021/764 consid. 1 ; CREP 24 janvier 2019/59 consid. 1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2.3</w:t>
      </w:r>
    </w:p>
    <w:p>
      <w:r>
        <w:t>et 2.4 et les références citées). D’après le Tribunal fédéral, le point de savoir si, en cas d’infraction particulièrement grave contre le patrimoine, les victimes sont atteintes particulièrement durement, au point quelle puissent être assimilées aux victimes d’actes violents, ne peut être résolu de manière abstraite; cet examen relève toujours des circonstances concrètes du cas (ATF 146 IV 136 consid. 2.5). Les indices suivants peuvent être utilisés pour déterminer la gravité de la mise en danger de la sécurité d’autrui : l’usage d'une arme, y compris par le passé, le montant du préjudice (si celui-ci est élevé, il serait à craindre que le prévenu puisse commettre plus fréquemment des délits graves), les circonstances personnelles du cas, notamment la situation financière des victimes (si celles-ci vivaient dans une situation précaire, le montant du préjudice n'aura pas besoin d'être particulièrement élevé), ainsi que la situation financière et personnelle de l'auteur (par exemple s’il a de gros besoins financiers, notamment en raison d’un train de vie luxueux; ATF 146 IV 136 consid. 2.5).</w:t>
      </w:r>
    </w:p>
    <w:p>
      <w:r>
        <w:rPr>
          <w:b/>
        </w:rPr>
        <w:t>E. 2.7</w:t>
      </w:r>
    </w:p>
    <w:p>
      <w:r>
        <w:t>; TF 1B_43/2020 précité consid. 2.1 ; TF 1B_11/2020 du 23 janvier 2020 consid. 3.1 ; TF 1B_595/2019 précité consid. 4 ; TF 1B_470/2019 du 16 octobre 2019 consid. 2.2 ; TF 1B_247/2016 du 27 juillet 2016 consid. 2.2). Selon la jurisprudence actuelle, il n'y a en principe mise en danger de la sécurité d'autrui que lors de l'emploi de la force, comme par exemple en cas de brigandage (ATF 146 IV 136 consid. 2.2 ; ATF 143 IV 9 consid. 2.7). Il n'existe une telle mise en danger sans emploi de la force que dans des cas très exceptionnels, particulièrement et objectivement graves (ATF 146 IV 136 consid. 2.2 ; TF 1B_595/2019 précité consid. 4.1 ; TF 1B_32/2017 du 4 mai 2017, publié in : Pra 2017 n. 54 pp. 534 ss., consid. 3.3.5). Pour admettre une sérieuse mise en danger de la sécurité d’autrui, il faut que les infractions contre le patrimoine aient frappé les victimes d’une manière particulièrement dure, c’est-à-dire que l’atteinte soit similaire à celle portée à la victime d’un acte de violence (ATF 146 IV 136 consid. 2.2 et 2.5). Lorsque les infractions au patrimoine ont été commises au préjudice de victimes qui ne peuvent pas avoir connu de difficultés insurmontables en raison de la soustraction opérée (ainsi, par exemple, d’établissements bancaires, de leasing, de grandes entreprises ou d’organismes étatiques), elles ne revêtent en principe pas la gravité nécessaire. A titre d’exemple, une escroquerie à l'aide sociale portant sur 300'000 fr. commise pendant cinq ans ne constitue pas un cas exceptionnel (TF 1B_247/2016 précité consid. 2.2). Dans certaines hypothèses, un délit contre le patrimoine peut frapper une victime aussi durement qu'un acte de violence; ainsi, lorsqu'un auteur dépouille quelqu'un déjà avancé en âge de tout le fruit du travail d'une vie (ATF 146 IV 136 consid.</w:t>
      </w:r>
    </w:p>
    <w:p>
      <w:r>
        <w:rPr>
          <w:b/>
        </w:rPr>
        <w:t>E. 3.1</w:t>
      </w:r>
    </w:p>
    <w:p>
      <w:r>
        <w:t>Le recourant ne conteste pas, à juste titre, l’existence de soupçons suffisants. Il conteste en revanche l’existence d’un risque de réitération.</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 S’agissant plus spécifiquement des infractions contre le patrimoine, la jurisprudence récente du Tribunal fédéral délimite strictement les conditions pour détenir provisoirement un prévenu en raison de l’existence d’un risque de réitération (ATF 146 IV 136 consid. 2.2 et 2.3, JdT 2020 IV 264 ; TF 1B_595/2019 du 10 janvier 2020, publié in RSJ 7/2020 pp. 248-249 ; TF 1B_43/2020 du 14 février 2020 consid. 2 ; TF 1B _112/2020 du 20 mars 2020 consid. 3).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 ATF 143 IV 9 consid.</w:t>
      </w:r>
    </w:p>
    <w:p>
      <w:r>
        <w:rPr>
          <w:b/>
        </w:rPr>
        <w:t>E. 3.3</w:t>
      </w:r>
    </w:p>
    <w:p>
      <w:r>
        <w:t>En l’espèce, il est vrai que le recourant a un casier judiciaire chargé (cf. let. Ad supra) et qu’il est maintenant renvoyé en jugement pour avoir commis au moins huit nouvelles infractions. En outre, il a, par le passé, déjà été condamné pour le même type d’infractions, à savoir notamment vol par métier, vol, dommages à la propriété et infraction à la loi fédérale sur les stupéfiants. Toutefois, la gravité objective des infractions qui lui sont reprochées dans le cadre de la présente procédure est relative. Tout d’abord, ni les infractions en cause, ni les antécédents du prévenu d’ailleurs, ne font état de violence physique envers des tiers. En outre, les infractions reprochées au recourant ont lésé le patrimoine, et il n’apparaît pas que leurs victimes ont connu des difficultés insurmontables en raison des faits litigieux. Certes, le nombre d’infractions reprochées au prévenu est important. Cependant, on ne se trouve pas en présence d’infractions particulièrement graves contre le patrimoine au sens de la jurisprudence précitée (cf. consid. 3.2 supra). Partant, force est de constater que les comportements répréhensibles du prévenu sont typiquement constitutifs d’infractions contre le patrimoine perturbant la vie en société et portant atteinte à la propriété, mais ne constituant précisément pas un danger pour l'intégrité physique ou psychique des victimes. Or, une détention pour des motifs de sûreté n'est justifiée à raison du risque de récidive que lorsque l'on se trouve en présence d'infractions particulièrement graves, ce qui n’est pas le cas en l’espèce. En conséquence, le refus de libérer G.________ de sa détention pour des motifs de sûreté fondé sur un risque de récidive manifeste qu’il présenterait ne se justifie pas au regard de la jurisprudence stricte du Tribunal fédéral en la matière.</w:t>
      </w:r>
    </w:p>
    <w:p>
      <w:r>
        <w:rPr>
          <w:b/>
        </w:rPr>
        <w:t>E. 4.1</w:t>
      </w:r>
    </w:p>
    <w:p>
      <w:r>
        <w:t>Les motifs fondant la détention provisoire étant alternatifs et non cumulatifs (TF 6B_160/2018 du 19 avril 2018 consid. 3.3), il convient d’examiner si la détention pour des motifs de sûreté peut se fonder sur l’existence d’un autre risque.</w:t>
      </w:r>
    </w:p>
    <w:p>
      <w:r>
        <w:rPr>
          <w:b/>
        </w:rPr>
        <w:t>E. 4.2.1</w:t>
      </w:r>
    </w:p>
    <w:p>
      <w:r>
        <w:t>Le risque de fuite n’a pas été analysé par le Tribunal des mesures de contrainte dans l’ordonnance attaquée. Toutefois, la Chambre de céans examine librement, en fait et en droit, si les conditions de la détention provisoire persistent au moment où elle rend sa décision. Elle dispose à cet égard d’un pouvoir de cognition complet (art. 393 al. 2 CPP). Il n’y a dès lors par lieu de limiter l’examen de la prolongation de la détention provisoire aux motifs retenus par le Tribunal des mesures de contrainte (CREP du 21 mai 2014/353 consid. 2). Du reste dans son acte de recours, G.________ conteste l’existence d’un risque de fuite. Il fait en substance valoir qu’il possède toutes ses attaches en Suisse, dans le canton de Vaud à Lausanne, qu’il a un statut de séjour régulier et qu’il possède un mode de vie sédentaire au point que la police n’a éprouvé aucune difficulté à le trouver, qu’il s’agisse de la présente procédure pénale ou des précédentes.</w:t>
      </w:r>
    </w:p>
    <w:p>
      <w:r>
        <w:rPr>
          <w:b/>
        </w:rPr>
        <w:t>E. 4.2.2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145 IV 503 consid. 2.2 ; ATF 143 IV 160 consid. 4.3 ; ATF 125 I 60 consid. 3a ; ATF 117 Ia 69 consid. 4a). Le risque de fuite s'étend également au risque de se soustraire à la procédure pénale ou à la sanction prévisible en tombant dans la clandestinité à l'intérieur du pays (ATF 143 IV 160 consid. 4.3; TF 1B_549/2020 du 9 novembre 2020).</w:t>
      </w:r>
    </w:p>
    <w:p>
      <w:r>
        <w:rPr>
          <w:b/>
        </w:rPr>
        <w:t>E. 4.3</w:t>
      </w:r>
    </w:p>
    <w:p>
      <w:r>
        <w:t>En l’occurrence, G.________ est arrivé en Suisse depuis le Portugal avec ses parents à l’âge de 9 ans. Il a deux frères qui sont nés en Suisse. Il est au bénéfice d’un permis C et père d’une jeune fille de dix ans qui résiderait à Yverdon. Il déclare avoir encore de la famille au Portugal soit sa grand-mère maternelle et des oncles et tantes, précisant ne pas les avoir revus depuis plus de six ans. Il dit comprendre la langue portugaise, mais ne pas bien la parler. Il apparaît ainsi que le risque qu’il parte pour l’étranger est peu vraisemblable. En revanche, G.________, qui est sous curatelle de portée générale, est sévèrement dépendant des produits stupéfiants, notamment à la cocaïne et à l’héroïne qu’il consomme depuis des années. Il n’a pas de formation ni d’emploi et émarge aux services sociaux. Il a en outre des dettes pour environ 20'000 francs. Par ailleurs, le prévenu est sans domicile fixe. En effet, il a lui-même reconnu avoir quitté la chambre qui lui était payée par les Service sociaux à la pension Bon-Séjour, ne pas avoir de véritable domicile, et avoir dormi chez sa copine à la rue de [...] à Lausanne. Force est donc de constater que le prévenu est un toxicomane désœuvré, dépourvu de tout soutien familial et sans point de chute en cas de libération. Au vu de ses antécédents, des nombreuses infractions qui lui sont reprochées et de son renvoi devant un Tribunal correctionnel, il sait désormais qu’il s’expose à une peine conséquente. Partant, il existe un risque concret qu’il se soustraie aux poursuites pénales engagées contre lui en se réfugiant dans la clandestinité s’il venait à être libéré.</w:t>
      </w:r>
    </w:p>
    <w:p>
      <w:r>
        <w:rPr>
          <w:b/>
        </w:rPr>
        <w:t>E. 5.1</w:t>
      </w:r>
    </w:p>
    <w:p>
      <w:r>
        <w:t>Le recourant fait encore grief au Tribunal des mesures de contrainte d’avoir refusé de prononcer des mesures de substitution à la détention alors qu’une place lui avait été offerte à la Fondation Estérelle-Arcadie, soutenant que l’intégration d’un foyer spécialisé dans les addictions représenterait la seule mesure qui lui permettrait de retrouver le droit chemin. De plus, de la drogue circulerait au sein de la prison, ce qui mettrait à néant l’argument de l’autorité intimée qui estime que ses addictions seraient mieux contrôlées en détention.</w:t>
      </w:r>
    </w:p>
    <w:p>
      <w:r>
        <w:rPr>
          <w:b/>
        </w:rPr>
        <w:t>E. 5.2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réf. citées).</w:t>
      </w:r>
    </w:p>
    <w:p>
      <w:r>
        <w:rPr>
          <w:b/>
        </w:rPr>
        <w:t>E. 5.3</w:t>
      </w:r>
    </w:p>
    <w:p>
      <w:r>
        <w:t>Le recourant a proposé des mesures de substitution et les a motivées au regard du risque de récidive qu’avait retenu le Tribunal des mesures de contrainte. Or la Chambre de céans a considéré que ce risque n’était pas réalisé. Elle a fondé la détention pour des motifs de sûreté de G.________ sur le risque de fuite. Il convient par conséquent d’examiner d’office si d’autres mesures que celles proposées par le recourant seraient propres à pallier le risque retenu (cf. TF 1B_48/2020 du 13 février 2020 consid 4.2). En l’occurrence, s’agissant de la mesure de substitution proposée par le recourant, la Chambre de céans a pris acte du fait que la Fondation Estérelle-Arcadie était disposée à prendre en charge G.________. Il s’agit toutefois d’un foyer ouvert. Le précédent traitement institutionnel des addictions au sens de l’art. 60 CP a été un échec et a dû être levé en 2015. Par ailleurs, le suivi entrepris auprès du Service des addictions du CHUV depuis 2018 n’a pas non plus été efficace, puisque le recourant a été condamné en 2021 pour des actes commis depuis 2018, notamment des délits et contraventions à la loi fédérale sur les stupéfiants, d’une part, et qu’il fait l’objet de la présente enquête pour des actes commis en 2020 et 2021, d’autre part. Le recourant ne semble enfin pas avoir débuté de traitement en détention. En définitive, tous les voyants sont au rouge et rien ne permet de considérer que G.________ resterait au sein de la Fondation Estérelle-Arcadie s’il pouvait encore y être admis. La mesure proposée par le prénommé, soit son placement au sein de cette institution n’est par conséquent pas de nature à parer au risque de fuite. Enfin, aucune autre mesure de substitution n’est propre à pallier le risque de fuite retenu. Il apparaît en particulier que le dépôt par G.________ de ses papiers d’identité, une assignation à résidence dans la Fondation Estérelle-Arcadie – combinée le cas échéant avec une mesure de surveillance électronique – ou encore la mise en place de contrôles d’abstinence réguliers ne sont pas des mesures propres à prévenir une entrée dans la clandestinité, mais uniquement à la constater a posteriori (TF 1B_14/2022 du 8 février 2022 consid. 4.4 ; TF 1B_158/2021 du 20 avril 2021 consid. 3.5; TF 1B_220/2020 du 26 mai 2020 consid. 5.2; cf. également ATF 145 IV 503 consid. 3.3.1).</w:t>
      </w:r>
    </w:p>
    <w:p>
      <w:r>
        <w:rPr>
          <w:b/>
        </w:rPr>
        <w:t>E. 6</w:t>
      </w:r>
    </w:p>
    <w:p>
      <w:r>
        <w:t>Au vu de ce qui précède, le recours, manifestement mal fondé, doit être rejeté sans échange d'écritures (art. 390 al. 2 CPP) et l'ordonnance du 17 mars 2022 confirmée. Les frais de la procédure de recours, constitués en l'espèce de l'émolument d'arrêt, par 1’980 fr. (art. 20 al. 1 TFIP [Tarif des frais de procédure et indemnités en matière pénale du 28 septembre 2010 ; BLV 312.03.1]), et des frais imputables à la défense d'office (art. 422 al. 1 et 2 let. a CPP), fixés à 720 fr. sur la base d’une durée d’activité nécessaire d’avocat estimée à 4h00  au tarif horaire de 180 fr., auxquels il convient d’ajouter des débours forfaitaires à concurrence de 2 % (art. 3bis al. 1 RAJ [Règlement sur l’assistance judiciaire en matière civile du 7 décembre 2010 ; BLV 211.02.3], applicable par renvoi de l’art. 26b TFIP), par 14 fr. 40, et la TVA, par 56 fr. 55, soit à 791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17 mars 2022 est confirmée. III. L’indemnité allouée au défenseur d’office de G.________ est fixée à 791 fr. (sept cent nonante et un francs). IV. Les frais d’arrêt, par 1’980 fr. (mille neuf cent huitante francs), ainsi que l’indemnité due au défenseur d’office de G.________, par 791 fr. (sept cent nonante et un francs), sont mis à la charge de ce dernier. V. Le remboursement à l’Etat de l’indemnité allouée au chiffre III ci-dessus ne sera exigible que pour autant que la situation financière de G.________ le permette. VI. L’arrêt est exécutoire. La présidente :               La greffière : Du Le présent arrêt, dont la rédaction a été approuvée à huis clos, est notifié, par l'envoi d'une copie complète, à : - Me Vincent Demierre, avocat (pour G.________), - Ministère public central, et communiqué à : ‑ Mme la Présidente du Tribunal des mesures de contrainte, - Mme la Procureure cantonale Strada, - Mme la Présidente du Tribunal correctionnel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