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242 vom 1. April 2022</w:t>
      </w:r>
    </w:p>
    <w:p>
      <w:r>
        <w:t>VD Tribunal cantonal, 2022-04-01, FR</w:t>
      </w:r>
    </w:p>
    <w:p>
      <w:r>
        <w:rPr>
          <w:b/>
        </w:rPr>
        <w:t xml:space="preserve">Quelle: </w:t>
      </w:r>
      <w:r>
        <w:t>https://mcp.opencaselaw.ch/entscheid/vd_findinfo_D_cision___2022___242</w:t>
      </w:r>
    </w:p>
    <w:p>
      <w:r>
        <w:t>FR: VD_FINDINFO Décision / 2022 / 242 du 1 avril 2022</w:t>
      </w:r>
    </w:p>
    <w:p>
      <w:r>
        <w:t>IT: VD_FINDINFO Décision / 2022 / 242 del 1 aprile 2022</w:t>
      </w:r>
    </w:p>
    <w:p>
      <w:pPr>
        <w:pStyle w:val="Heading2"/>
      </w:pPr>
      <w:r>
        <w:t>Regeste</w:t>
      </w:r>
    </w:p>
    <w:p>
      <w:r>
        <w:t>DÉTENTION PROVISOIRE, RISQUE DE RÉCIDIVE, MESURE DE SUBSTITUTION À LA DÉTENTION | 221 al. 1 let. c CPP (CH), 237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2.1</w:t>
      </w:r>
    </w:p>
    <w:p>
      <w:r>
        <w:t>En vertu de l’art. 228 al. 1 CPP, le prévenu peut présenter en tout temps une demande de libération de la détention provisoire. Cette demande doit être admise si les conditions de la détention provisoire ne sont pas ou plus remplies.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Pour constituer des soupçons suffisants, les indices de la commission d’une infraction doivent être sérieux et concrets (ATF 141 IV 87 consid. 1.3.1 ; ATF 137 IV 122 consid. 3.2). Selon la jurisprudence, il n'appartient cependant pas au juge de la détention – contrairement au juge du fond – de procéder à une pesée minutieuse et complète des éléments à charge et à décharge. Lorsque l'existence de charges est contestée, ce juge doit uniquement examiner si, sur la base des actes d'instruction disponibles, il existe des indices suffisants et concrets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1B_342/2021 du 13 juillet 2021 consid. 2.1.2).</w:t>
      </w:r>
    </w:p>
    <w:p>
      <w:r>
        <w:rPr>
          <w:b/>
        </w:rPr>
        <w:t>E. 2.2</w:t>
      </w:r>
    </w:p>
    <w:p>
      <w:r>
        <w:t>Le recourant conteste être l’auteur des coups de couteau portés aux victimes. Il ne soutient en revanche pas qu’il n’aurait pas participé à la rixe mortelle une fois celle-ci engagée. Il a au demeurant admis l’avoir provoquée, expliquant qu’il s’agissait initialement d’un « combat qu’il voulait "un contre un" », avec F.________ (cf. déterminations du 10 mars 2022, p. 2). Ces éléments sont suffisants pour retenir l’existence de soupçons suffisants de culpabilité à l’encontre du prévenu, étant rappelé qu’il n’appartient pas au juge de la détention provisoire de procéder à une appréciation complète des éléments à charge et à décharge.</w:t>
      </w:r>
    </w:p>
    <w:p>
      <w:r>
        <w:rPr>
          <w:b/>
        </w:rPr>
        <w:t>E. 3.1</w:t>
      </w:r>
    </w:p>
    <w:p>
      <w:r>
        <w:t>Le recourant conteste le risque de réitération retenu par le Tribunal des mesures de contrainte. Il fait valoir premièrement qu’il ne serait pas l’auteur des coups de couteau et que son comportement aurait consisté essentiellement à vouloir entamer un duel avec F.________. Seule l’infraction de rixe pourrait par conséquent lui être reprochée et si R.________ n’avait pas dérapé, seule une bagarre sans conséquence serait vraisemblablement survenue. Le recourant affirme n’avoir par ailleurs jamais cherché à provoquer une bagarre impliquant d’autres personnes. Il soutient ensuite que contrairement à ce que le Tribunal des mesures de contrainte a considéré, les regrets et la prise de conscience qu’il a exprimés seraient sincères. L’emploi et le logement qu’il a trouvés excluraient tout risque de récidive, ce « programme de réinsertion » lui offrant une chance de s’intégrer socialement et professionnellement. La durée de sa détention serait en outre de nature à le dissuader de récidiver. Le recourant fait ensuite valoir que la Procureure a refusé de joindre à la présente affaire les procédures pénales instruites contre lui dans le canton de Neuchâtel. Il faudrait en conclure que seuls les faits commis en terre vaudoise dans la nuit du 25 au 26 septembre 2021 devraient être pris en considération pour examiner le risque de récidive. Le recourant ajoute que le Ministère public du canton de Neuchâtel l’a libéré après deux mois, ce qui laisserait penser que les sanctions contre lui pourraient être modérées, puisqu’il n’avait jamais été condamné auparavant. Enfin, le recourant affirme qu’aucun élément au dossier ne permettrait de considérer qu’il serait un danger pour l’ordre public et qu’il n’arriverait pas à gérer ses frustrations et sa violence.</w:t>
      </w:r>
    </w:p>
    <w:p>
      <w:r>
        <w:rPr>
          <w:b/>
        </w:rPr>
        <w:t>E. 3.2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 TF 1B_91/2021 du 10 mars 2021 consid. 2.1; TF 1B_587/2020 du 10 décembre 2020 consid. 3.1 ; TF 1B_237/2018 du 6 juin 2018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143 IV 9 consid. 2.3.1, JdT 2017 IV 262 ; ATF 137 IV 13 consid. 3 et 4). Le risque de récidive peut également se fonder sur les infractions faisant l'objet de la procédure pénale en cours, si le prévenu est fortement soupçonné – avec une probabilité confinant à la certitude – de les avoir commises (ATF 143 IV 9, JdT 2017 IV 262 ; ATF 137 IV 84 consid. 3.2 et les références citées, JdT 2011 IV 325).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(ATF 143 IV 9 consid. 2.6 et 2.7 et les références citées, JdT 2017 IV 262).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références citées, JdT 2017 IV 262).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à 2.10, JdT 2017 IV 262).</w:t>
      </w:r>
    </w:p>
    <w:p>
      <w:r>
        <w:rPr>
          <w:b/>
        </w:rPr>
        <w:t>E. 3.3</w:t>
      </w:r>
    </w:p>
    <w:p>
      <w:r>
        <w:t>Se référant aux considérants de son ordonnance du 3 octobre 2021 ainsi qu’aux arguments du Ministère public, le Tribunal des mesures de contrainte a considéré que le risque de réitération demeurait concret, faute d’éléments nouveaux permettant d’en faire une évaluation différente. Le premier juge a rappelé qu’un tel risque pouvait être retenu même en l’absence de tout antécédent, si les faits étaient graves, comme en l’espèce, et a retenu que les deux enquêtes neuchâteloises devaient être prises en compte. Il a considéré qu’aucun crédit ne pouvait être accordé aux promesses faites aux autorités par le prévenu, puisque, sitôt libéré, celui-ci n’avait pas jugé bon de se tenir à l’écart « des rivalités imbéciles » qui animaient les deux bandes ennemies. Quant aux engagements pris par le prévenu devant lui, ils étaient du même bois et n’avaient pas convaincu, malgré le fait que la défense ait proposé un programme de réinsertion. Nonobstant des regrets et une remise en question qui avaient paru de façade, l’investissement futur du prévenu n’avait pas semblé aussi sincère que la défense l’avait plaidé, de sorte que la garantie que devait offrir le programme précité n’était pas de nature à contrebalancer un risque de récidive important et qui était concret au vu du parcours pénal de l’intéressé. Le prévenu avait manifestement un problème de gestion de ses frustrations et de la violence, si bien qu’il était de bon aloi qu’il entreprenne, le cas échéant avec l’aide du Service de médecine et psychiatrie pénitentiaires, un travail sur cette problématique. Cette appréciation ne prête pas le flanc à la critique et doit être confirmée. Il convient de rappeler premièrement qu’au moment des faits qui lui sont reprochés dans la présente affaire, le recourant faisait déjà l’objet de procédures pénales instruites dans le canton de Neuchâtel pour brigandage, rixe et séquestration et enlèvement notamment. Ces affaires sont liées au conflit qui oppose les deux bandes rivales concernées par les tragiques événements du 26 septembre 2021. Dans le cadre de ces enquêtes, il est reproché au recourant d’avoir participé à des faits particulièrement graves, soit à une bagarre au cours de laquelle des hommes se sont acharnés sur une victime à coups de batte de baseball avant de l’enlever pour la battre à nouveau dans une grange (cf. document intitulé « Récapitulation des faits » produit le 10 mars 2022 par le défenseur d’Y.________, P. 3). Entendu le 29 juin 2021, Y.________ a contesté avoir frappé cette victime mais admis l’avoir fait entrer de force dans le coffre d’une voiture pour l’enlever et l’emmener dans la grange précitée. Contrairement à ce qu’affirme le recourant, on ne saurait faire abstraction de ces faits très graves et inquiétants. Que les affaires vaudoise et neuchâteloises ne soient pas jointes en l’état n’y change rien. Le recourant soutient qu’il n’aurait aucun problème de frustration ou de violence, mais sa participation à plusieurs actes de violence démontre le contraire. Il résulte de ces éléments que le risque de réitération présenté par le prévenu est à ce stade suffisamment important et concret pour justifier son maintien en détention provisoire. Le programme de réinsertion qu’il propose ne suffit pas à rassurer sur la conduite qu’il adopterait s’il était libéré, particulièrement au regard des déclarations qu’il a faites au Ministère public neuchâtelois avant qu’il le libère. Comme il l’a indiqué lors de son audition d’arrestation, il savait qu’il devait « se tenir à carreau » (PV aud. 8, l. 63). Or, les promesses qu’il a faites n’ont pas été tenues et les deux mois de détention provisoire déjà subis n’ont de toute évidence eu aucune influence sur lui.</w:t>
      </w:r>
    </w:p>
    <w:p>
      <w:r>
        <w:rPr>
          <w:b/>
        </w:rPr>
        <w:t>E. 4.1</w:t>
      </w:r>
    </w:p>
    <w:p>
      <w:r>
        <w:t>Le recourant soutient que le programme de réinsertion qu’il propose constituerait une mesure de substitution adéquate propre à exclure tout risque de récidive. Dès sa sortie de prison, il bénéficierait en effet d’un travail régulier, habiterait loin de [...] et ne risquerait pas de rencontrer R.________ qu’il s’est engagé à ne plus revoir. Une interdiction de s’éloigner de l’Arc lémanique, de se rendre à Lausanne et/ou même d’aller voir sa famille à [...] pourrait en outre être prononcée. Il pourrait également se présenter chaque semaine auprès d’un service administratif. Enfin, même s’il considère n’avoir aucune difficulté à gérer sa violence, il allègue qu’un traitement ambulatoire ou une thérapie comportementale pourrait être ordonné si l’autorité l’estimait nécessaire.</w:t>
      </w:r>
    </w:p>
    <w:p>
      <w:r>
        <w:rPr>
          <w:b/>
        </w:rPr>
        <w:t>E. 4.2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w:t>
      </w:r>
    </w:p>
    <w:p>
      <w:r>
        <w:rPr>
          <w:b/>
        </w:rPr>
        <w:t>E. 4.3</w:t>
      </w:r>
    </w:p>
    <w:p>
      <w:r>
        <w:t>A l’instar du Tribunal des mesures de contrainte, la Chambre de céans ne voit pas, à ce stade, de mesure de substitution susceptible de palier le risque retenu. Les enquêtes dont le recourant fait l’objet portent sur les infractions parmi les plus graves du Code pénal. S’il est vrai qu’il importe que le recourant, une fois les peines privatives de liberté qu’il aurait à purger, se réinsère socialement, la prudence doit toutefois prévaloir à ce stade de l’enquête. Les mesures de substitution à la détention provisoire qu’il a proposées (travail, domicile éloigné, interdiction de périmètre, obligation de se présenter à un service) apparaissent insuffisantes pour prévenir le risque retenu. Elles ne reposent que sur la volonté du recourant de s’y soumettre, ce qui – au vu des éléments rappelés plus haut – n’offre pas une garantie suffisante, et ne permettrait que de constater a posteriori une éventuelle transgression lors de nouveaux actes de violence. Enfin, comme l’a relevé le premier juge, le recourant doit d’abord apprendre à gérer sa violence et son impulsivité. En fonction de l’avancée et des résultats de son enquête, il appartiendra à la direction de la procédure d’examiner l’opportunité de mettre en œuvre une expertise psychiatrique ou, à tout le moins, de disposer d’un avis médical d’un médecin spécialisé. Pour le surplus, la durée de la détention provisoire reste à l’évidence proportionnée à la peine qui pourrait être prononcée (art. 212 al. 3 CPP), compte tenu de la gravité des faits reprochés au recourant. Il n'est pas déterminant que la peine encourue puisse être assortie d’un sursis. Le juge de la détention ne tient en principe pas compte de la possibilité éventuelle de l'octroi, par l'autorité de jugement, d'un sursis, d'un sursis partiel ou d'une libération conditionnelle au sens de l'art. 86 al. 1 CP (ATF 143 IV 168 consid. 5.1 ; ATF 145 IV 179 consid. 3.4 ; TF 1B_500/2019 du 25 octobre 2019 consid. 5.1).</w:t>
      </w:r>
    </w:p>
    <w:p>
      <w:r>
        <w:rPr>
          <w:b/>
        </w:rPr>
        <w:t>E. 5</w:t>
      </w:r>
    </w:p>
    <w:p>
      <w:r>
        <w:t>Au vu de ce qui précède, le recours, manifestement mal fondé, doit être rejeté sans échange d'écritures (art. 390 al. 2 CPP) et l'ordonnance du 16 mars 2022 confirmée. Les frais de la procédure de recours, constitués en l'espèce de l'émolument d'arrêt, par 1'430 fr. (art. 20 al. 1 TFIP [Tarif des frais de procédure et indemnités en matière pénale du 28 septembre 2010 ; BLV 312.03.1]), et des frais imputables à la défense d'office (art. 422 al. 1 et 2 let. a CPP), fixés à 540 fr. sur la base d’une durée d’activité nécessaire d’avocat estimée à trois heures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40, soit à 594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16 mars 2022 est confirmée. III. L’indemnité allouée au défenseur d’office d’Y.________ est fixée à 594 fr. (cinq cent nonante-quatre francs). IV. Les frais d’arrêt, par 1’430 fr. (mille quatre cent trente francs), ainsi que l’indemnité due au défenseur d’office d’Y.________, par 594 fr. (cinq cent nonante-quatre francs), sont mis à la charge de ce dernier. V. Le remboursement à l’Etat de l’indemnité allouée au chiffre III ci-dessus ne sera exigible que pour autant que la situation financière d’Y.________ le permette. VI. L’arrêt est exécutoire. La présidente :               La greffière : Du Le présent arrêt, dont la rédaction a été approuvée à huis clos, est notifié, par l'envoi d'une copie complète, à : - Me Nicolas Perret, avocat (pour Y.________), - Ministère public central, et communiqué à : ‑ Mme la Procureure de l’arrondissement de Lausanne, - Me Lionel Capelli, avocat (pour F.________), - Me Nadia Calabria, avocate (pour [...] et [...]), - Me Skander Agrebi, avocat (pour [...] et [...]),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