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237 vom 31. März 2022</w:t>
      </w:r>
    </w:p>
    <w:p>
      <w:r>
        <w:t>VD Tribunal cantonal, 2022-03-31, FR</w:t>
      </w:r>
    </w:p>
    <w:p>
      <w:r>
        <w:rPr>
          <w:b/>
        </w:rPr>
        <w:t xml:space="preserve">Quelle: </w:t>
      </w:r>
      <w:r>
        <w:t>https://mcp.opencaselaw.ch/entscheid/vd_findinfo_D_cision___2022___237</w:t>
      </w:r>
    </w:p>
    <w:p>
      <w:r>
        <w:t>FR: VD_FINDINFO Décision / 2022 / 237 du 31 mars 2022</w:t>
      </w:r>
    </w:p>
    <w:p>
      <w:r>
        <w:t>IT: VD_FINDINFO Décision / 2022 / 237 del 31 marzo 2022</w:t>
      </w:r>
    </w:p>
    <w:p>
      <w:pPr>
        <w:pStyle w:val="Heading2"/>
      </w:pPr>
      <w:r>
        <w:t>Regeste</w:t>
      </w:r>
    </w:p>
    <w:p>
      <w:r>
        <w:t>SAUVEGARDE DU SECRET, ENQUÊTE PÉNALE, PROPORTIONNALITÉ | 75 al. 4 CPP (CH), 19 al. 1 LVCPP</w:t>
      </w:r>
    </w:p>
    <w:p>
      <w:pPr>
        <w:pStyle w:val="Heading2"/>
      </w:pPr>
      <w:r>
        <w:t>Erwägungen</w:t>
      </w:r>
    </w:p>
    <w:p>
      <w:r>
        <w:rPr>
          <w:b/>
        </w:rPr>
        <w:t>E. 1</w:t>
      </w:r>
    </w:p>
    <w:p>
      <w:r>
        <w:t>Interjeté dans le délai légal auprès de l'autorité de recours (art. 396 al. 1 CPP [Code de procédure pénale suisse du 5 octobre 2007; RS 312.0]) qui est, dans le canton de Vaud, la Chambre des recours pénale du Tribunal cantonal (art. 13 LVCPP [Loi vaudoise d’introduction du Code de procédure pénale suisse du 19 mai 2009; BLV 312.01]; art. 80 LOJV [Loi vaudoise d'organisation judiciaire du 12 septembre 1979; BLV 173.01]), contre une décision du Ministère public (art. 393 al. 1 let. a CPP), par une partie qui a un intérêt juridiquement protégé à l'annulation ou à la modification de la décision (art. 382 al. 1 CPP) et dans les formes prescrites (art. 385 al. 1 CPP), le recours est recevable (JdT 2017 III 152 et JdT 2019 III 102). Les pièces nouvelles sont également recevables (art. 390 al. 4 in fine CPP; CREP 8 novembre 2021/1020 consid. 1.3; CREP 9 juillet 2012/427 consid. 1b et les réf. citées).</w:t>
      </w:r>
    </w:p>
    <w:p>
      <w:r>
        <w:rPr>
          <w:b/>
        </w:rPr>
        <w:t>E. 2</w:t>
      </w:r>
    </w:p>
    <w:p>
      <w:r>
        <w:t>Cst.,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146 I 157 consid. 5.4; ATF 141 I 20 consid. 6.2.1; ATF 140 I 168 consid. 4.2.1 ; TF 1C_708/2020 du 27 janvier 2022 consid. 4.1).</w:t>
      </w:r>
    </w:p>
    <w:p>
      <w:r>
        <w:rPr>
          <w:b/>
        </w:rPr>
        <w:t>E. 2.1</w:t>
      </w:r>
    </w:p>
    <w:p>
      <w:r>
        <w:t>Aux termes de l'art. 73 al. 1 CPP, les membres des autorités pénales, leurs collaborateurs, ainsi que leurs experts commis d'office gardent le silence sur les faits qui parviennent à leur connaissance dans l'exercice de leur activité officielle. Cette disposition impose une obligation de secret sur les faits objets d'une enquête pénale; cette obligation, qui vise notamment à protéger les intérêts des parties à la procédure, présente une importance particulière pour la protection des victimes, mais également pour la garantie de la présomption d'innocence et la protection des droits de la personnalité des intéressés (Saxer/Turnheer, Basler Kommentar, 2 e éd., 2014, n. 4 ad. art. 73 CPP; Moreillon/Parein-Reymond, Petit commentaire, Code de procédure pénale,</w:t>
      </w:r>
    </w:p>
    <w:p>
      <w:r>
        <w:rPr>
          <w:b/>
        </w:rPr>
        <w:t>E. 2.2</w:t>
      </w:r>
    </w:p>
    <w:p>
      <w:r>
        <w:t>Aux termes de l’art. 19 al. 1 LVCPP (loi vaudoise d’introduction du Code de procédure pénale suisse du 19 mai 2009; BLV 312.01), les autorités pénales ne peuvent communiquer à d'autres autorités fédérales ou cantonales, à l'exclusion des autorités de poursuite pénale, des informations sur les procédures pénales qu'elles conduisent que si l'intérêt public à ce que ces informations soient communiquées l'emporte sur l'intérêt des parties à voir leurs droits de la personnalité respectés. Selon la jurisprudence de la Chambre des recours pénale, l'art. 19 al. 1 LVCPP instaure une clause générale qui permet aux autorités pénales de communiquer à d'autres autorités, à l'exclusion d'organismes privés, des informations concernant les procédures pénales qu'elles conduisent. Le législateur vaudois a ainsi fait usage de manière large de la réserve prévue par l'art. 75 al. 4 CPP en faveur du droit public cantonal en autorisant d'une façon générale la communication d'informations à toutes les autorités administratives cantonales et fédérales, pour autant que l'intérêt public à la communication l'emporte sur l'intérêt privé à la non-divulgation. Même si, sous cette réserve de l'intérêt public prépondérant, elle ouvre en définitive la possibilité pour les autorités pénales de communiquer des informations à toutes les autorités cantonales et fédérales, on ne saurait pour autant soutenir que l'art. 19 al. 1 LVCPP constitue une base légale formulée de manière confuse ou incertaine. Comme en témoigne le titre marginal de cette disposition, le législateur vaudois a bien mis en œuvre l'art. 75 al. 4 CPP en édictant l'art. 19 al. 1 LVCPP. Il a par ailleurs choisi de privilégier une solution visant à permettre une communication étendue des informations en répondant de la sorte à des besoins en termes de sécurité publique. Il s'ensuit que l'art. 19 al. 1 LVCPP doit être considéré comme constituant une base légale suffisante pour permettre aux autorités pénales la communication d'informations à des autorités administratives cantonales ou fédérales (JdT 2019 III 102, précité, consid. 2.3, confirmé notamment par CREP 28 août 2020/669; cf. aussi JdT 2017 III 152 consid. 3.4.2; CREP 27 décembre 2016/869 consid. 2.4.1).</w:t>
      </w:r>
    </w:p>
    <w:p>
      <w:r>
        <w:rPr>
          <w:b/>
        </w:rPr>
        <w:t>E. 2.3</w:t>
      </w:r>
    </w:p>
    <w:p>
      <w:r>
        <w:t>Le respect de la sphère privée est prévu par l’art. 13 Cst. (Constitution fédérale de la Confédération suisse du 18 avril 1999; RS 101). Consacré par l’art. 5 al.</w:t>
      </w:r>
    </w:p>
    <w:p>
      <w:r>
        <w:rPr>
          <w:b/>
        </w:rPr>
        <w:t>E. 3</w:t>
      </w:r>
    </w:p>
    <w:p>
      <w:r>
        <w:t>Le recourant invoque, en substance, une violation de la présomption d’innocence et du principe de la proportionnalité, au regard, notamment, de l’avis de prochaine clôture du 23 décembre 2021. Par son avis de prochaine clôture du 23 décembre 2021, le Ministère public a fait part aux parties qu’il entendait rendre une ordonnance de classement quant aux chefs de prévention de voies de fait qualifiées et de violation du devoir d’assistance ou d’éducation. Faute de condamnation prévisible en l’état, il n’y a donc pas d’intérêt public à informer l’autorité disciplinaire concernée d’une procédure pénale vouée au classement. Une telle information porterait atteinte à l'intérêt privé du prévenu à la non-divulgation de l’ouverture de la procédure pénale, sans présenter un quelconque avantage pour l’autorité concernée, s’agissant même d’un enseignant appelé à avoir des mineurs sous sa direction. Elle contreviendrait donc au principe de la proportionnalité. Certes, une ordonnance pénale sera, en l’état, rendue quant au chef de prévention de diffamation. Pour autant, il ne s’agit pas là d’une infraction poursuivie d’office. Il s’ensuit qu’un retrait de plainte reste possible tant que le jugement de deuxième instance cantonale n’a pas été prononcé (art. 33 al. 1 CP). En outre, les faits incriminés à ce titre prêtent à l’évidence moins à conséquence en matière disciplinaire que ceux relatifs aux chefs de prévention promis à l’abandon. Enfin, la motivation de la décision attaquée fait surtout référence à de prétendues violences du recourant à l’égard de son fils, et de la mise en danger du développement de celui-ci qui aurait pu s’ensuivre. Les courriels incriminés que le recourant a admis avoir adressés à des tiers, et qui ont fait l’objet des plaintes pénales de Me [...] et de [...], ne sont pas analysés dans la décision attaquée; a fortiori celle-ci n’expose-t-elle pas pour quels motifs ils justifieraient, à eux seuls, et dans le contexte judiciaire précis (procédure civile très conflictuelle portant sur la garde des enfants du couple) dans lequel ils ont été adressés, une communication au sens de l’art. 75 al. 4 CPP, notamment eu égard au principe de la proportionnalité. La pondération entre l'intérêt public à ce que l’ouverture de la procédure pénale soit portée à la connaissance de l’autorité disciplinaire concernée et l'intérêt du prévenu au respect de ses droits de la personnalité et au maintien du secret de l’instruction commande dès lors de privilégier celui-ci au détriment de celui-là.</w:t>
      </w:r>
    </w:p>
    <w:p>
      <w:r>
        <w:rPr>
          <w:b/>
        </w:rPr>
        <w:t>E. 4</w:t>
      </w:r>
    </w:p>
    <w:p>
      <w:r>
        <w:t>Il résulte de ce qui précède que le recours doit être admis et la décision du 25 février 2022 annulée. Vu le sort du recours, les frais de la procédure, constitués en l’espèce de l’émolument d’arrêt, par 770 fr. (art. 20 al. 1 TFIP [tarif des frais de procédure et indemnités en matière pénale du 28 septembre 2010; BLV 312.03.1]), seront laissés à la charge de l’Etat (art. 423 al. 1 CPP). Par ces motifs, la Chambre des recours pénale prononce : I. Le recours est admis. II. La décision du 25 février 2022 est annulée. III. Les frais d’arrêt, par 770 fr. (sept cent septante francs), sont laissés à la charge de l’Etat. IV. L’arrêt est exécutoire. La présidente : Le greffier : Du Le présent arrêt, dont la rédaction a été approuvée à huis clos, est notifié, par l'envoi d'une copie complète, à : - M. H.________, - Ministère public central, et communiqué à :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