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212 vom 22. März 2022</w:t>
      </w:r>
    </w:p>
    <w:p>
      <w:r>
        <w:t>VD Tribunal cantonal, 2022-03-22, FR</w:t>
      </w:r>
    </w:p>
    <w:p>
      <w:r>
        <w:rPr>
          <w:b/>
        </w:rPr>
        <w:t xml:space="preserve">Quelle: </w:t>
      </w:r>
      <w:r>
        <w:t>https://mcp.opencaselaw.ch/entscheid/vd_findinfo_D_cision___2022___212</w:t>
      </w:r>
    </w:p>
    <w:p>
      <w:r>
        <w:t>FR: VD_FINDINFO Décision / 2022 / 212 du 22 mars 2022</w:t>
      </w:r>
    </w:p>
    <w:p>
      <w:r>
        <w:t>IT: VD_FINDINFO Décision / 2022 / 212 del 22 marzo 2022</w:t>
      </w:r>
    </w:p>
    <w:p>
      <w:pPr>
        <w:pStyle w:val="Heading2"/>
      </w:pPr>
      <w:r>
        <w:t>Regeste</w:t>
      </w:r>
    </w:p>
    <w:p>
      <w:r>
        <w:t>RÉCUSATION, DEMANDE ADRESSÉE À L'AUTORITÉ | 58 CPP (CH)</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déposée par X.________ (art. 13 al. 1 LVCPP [loi vaudoise d’introduction du Code de procédure pénale suisse du 19 mai 2009 ; BLV 312.01]), dans la mesure où celle-ci est dirigée contre la présidente d’un tribunal de première instance.</w:t>
      </w:r>
    </w:p>
    <w:p>
      <w:r>
        <w:rPr>
          <w:b/>
        </w:rPr>
        <w:t>E. 2.1</w:t>
      </w:r>
    </w:p>
    <w:p>
      <w:r>
        <w:t>La question de savoir si la requête de récusation a été déposée en temps utile doit être tranchée d'office avant l'examen des moyens invoqués.</w:t>
      </w:r>
    </w:p>
    <w:p>
      <w:r>
        <w:rPr>
          <w:b/>
        </w:rPr>
        <w:t>E. 2.2.1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(TF 1B_536/2021 du 28 janvier 2022 consid. 3.1 ; TF 1B_502/2018 du 12 novembre 2018 consid. 4), sous peine de déchéance (ATF 140 I 271 consid. 8.4.3 ; JdT 2015 III 113 consid. 1.2.1).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 ATF 139 III 120 consid. 3.2.1 ; JdT 2015 III 113 consid. 1.2.1).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1B_536/2021 précité consid. 3.1 ; TF 1B_367/2021 du 29 novembre 2021 consid. 2.1), mais en tout cas dans un délai inférieur à dix jours (JdT 2015 III 113). Il incombe à la partie qui se prévaut d'un motif de récusation de rendre vraisemblable qu'elle a agi en temps utile, en particulier de rendre vraisemblable le moment de la découverte de ce motif (arrêts précités ; TF 1B_305/2019 et 1B_330/2019 du 26 novembre 2019 consid. 3.2.1).</w:t>
      </w:r>
    </w:p>
    <w:p>
      <w:r>
        <w:rPr>
          <w:b/>
        </w:rPr>
        <w:t>E. 2.2.2</w:t>
      </w:r>
    </w:p>
    <w:p>
      <w:r>
        <w:t>Le Tribunal fédéral a déjà jugé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Il devait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fondaient seulement ensemble un motif de récusation, celle-ci pouvait être demandée lorsque, de l'avis de l'intéressé, la dernière de ces occurrences était la « goutte d'eau qui faisait déborder le vase ». Dans un tel cas, l'examen des événements passés, dans le cadre d'une appréciation globale, n'est admis que pour autant que la dernière occurrence constitue en elle-même un motif de récusation ou à tout le moins un indice en faveur d'une apparence de prévention.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Il a ainsi été jugé que l'exigence temporelle ressortant de l'art. 58 al. 1 CPP exclut qu'après avoir constitué une sorte de « dossier privé » au sujet d'erreurs de procédure commises au fil du temps par le magistrat en cause, la partie puisse choisir librement le moment où la demande de récusation est formée (TF 1B_118/2020 du 27 juillet 2020 consid. 3.2 et les références).</w:t>
      </w:r>
    </w:p>
    <w:p>
      <w:r>
        <w:rPr>
          <w:b/>
        </w:rPr>
        <w:t>E. 2.3</w:t>
      </w:r>
    </w:p>
    <w:p>
      <w:r>
        <w:t>En l’espèce, le requérant se plaint de la manière dont la Vice-présidente P.________ a tenu l’audience du 31 janvier 2022, du contenu du procès-verbal de dite audience et du fait que le sort que la procédure civile n’a pas à interférer avec la reprise de la procédure pénale. Or tous ces motifs de récusation concernent ce qui s’est passé et ce qui a été décidé durant l’audience du 31 janvier 2022, de sorte que, déposée le 2 mars 2022, la demande récusation est tardive. Par ailleurs, contrairement à ce que le requérant soutient, il appartenait effectivement à la magistrate de « se soucier » de la procédure civile, puisqu’il s’agissait d’un point que les parties elles-mêmes avaient décidé de régler en le reliant au sort de l’action pénale et ce en privilégiant l’intérêt de l’enfant, respectivement en suspendant la cause pendant six mois et en faisant le nécessaire pour que le droit de visite entre la mère et l’enfant soit rétabli. Le requérant indique que c’est le contenu du courrier de la Vice-présidente P.________ du 28 février 2022 qui objective l’apparence de prévention. Toutefois, la motivation de cette lettre concerne toujours le déroulement de l’audience du 31 janvier 2022, ainsi que le contenu et le but de la transaction passée à cette occasion. Le fait que la magistrate ait exhorté les parties à mettre à profit la suspension de six mois n’est pas un motif de récusation, d’autant que, comme on vient de le voir, le but de la convention et de la suspension de cause était précisément de privilégier l’intérêt de l’enfant plutôt que celui de ses parents. Le requérant ne fait donc valoir aucune nouvelle circonstance constituant en elle-même un motif de récusation ou un indice en faveur d’une apparence de prévention. Vu les éléments qui précèdent, la requête de récusation apparaît déjà irrecevable pour cause de tardiveté. Quoi qu’il en soit, la demande de récusation doit de toute manière être rejetée pour les motifs qui sont exposés ci-après.</w:t>
      </w:r>
    </w:p>
    <w:p>
      <w:r>
        <w:rPr>
          <w:b/>
        </w:rPr>
        <w:t>E. 3.1</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références ; TF 1B_426/2018 du 20 novembre 2018 consid. 2.2).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et les références ; TF 1B_426/2018 du 20 novembre 2018 consid. 2.2). La récusation d’un magistrat ne peut intervenir pour vérifier la légalité des actes ou leur opportunité et ne vise qu’à vérifier son impartialité (ATF 141 IV 178, JdT 2016 IV 247 ; ATF 138 IV 142).</w:t>
      </w:r>
    </w:p>
    <w:p>
      <w:r>
        <w:rPr>
          <w:b/>
        </w:rPr>
        <w:t>E. 3.2</w:t>
      </w:r>
    </w:p>
    <w:p>
      <w:r>
        <w:t>En l’espèce, les parties se livrent à un combat depuis de nombreuses années au sujet de leur enfant F.________. Plusieurs autorités sont intervenantes dans ce conflit délétère, dont la justice de paix et la DGEJ. Les autorités pénales ont déjà été saisies concernant les relations entre les parents (P. 9). Au cours de l’audience du 31 janvier 2022, les parties, toutes deux assistées de leur avocat respectif, ont établi une convention selon laquelle, notamment, il était prévu qu’elles retireraient leur plainte si elles pouvaient trouver une solution au rétablissement du droit de visite de la mère dans les six mois. C’est donc logiquement que la Vice-présidente P.________ a décidé de suspendre la cause pour cette même durée. Cela ne dénote aucune prévention de sa part. Comme exposé ci-dessus, le requérant reproche somme toute à la magistrate de refuser de reprendre la procédure pour des motifs qui ne concernent pas les autorités pénales. On ne voit pas en quoi il y aurait là une erreur de la magistrate, et encore moins une somme d’erreurs graves. Tout d’abord, la convention ne prévoit pas que les parties pouvaient se réserver le droit de révoquer leur accord et de demander la reprise de la cause en raison d’un comportement de la partie adverse qu’elles estimeraient inadéquat. Ensuite, comme expliqué par la Vice-présidente et ce que le requérant semble oublier, le but de la convention était de privilégier l’intérêt de son enfant pendant six mois plutôt que le sien. Le requérant conteste donc le contenu d’une convention qu’il a pourtant lui-même signée avec l’assistance de son avocat breveté, de sorte qu’il ne peut s’en prendre qu’à lui-même si les termes de la convention ne lui conviennent plus. On ne voit pas le moindre indice d’apparence de prévention de la Vice-présidente à cet égard et on ne saurait en aucun cas lui reprocher d’avoir tenté d’apaiser un tant soit peu la situation. Si le requérant entend contester la décision de la magistrate de ne pas reprendre la cause, il dispose des voies de droit ordinaires pour ce faire. Enfin, si on le comprend bien, le requérant semble reprocher à la Vice-présidente de l’avoir « contraint » à conclure la transaction, soit d’avoir indiqué en début d’audience qu’elle entendait concilier et qu’il « pourrait » être condamné s’il ne transigeait pas. Comme le requérant l’indique lui-même, la Vice-présidente a dit qu’une condamnation était possible et n’a donc pas préjugé. Il n’y a rien de critiquable dans ces propos, d’autant que Z.________ pouvait elle aussi être condamnée en tant que coprévenue. On rappellera par ailleurs que l’audience a duré une heure et demie et que le requérant avait tout loisir de cesser les pourparlers durant ce laps de temps. En définitive, il y a lieu de constater que la Vice-présidente P.________ n’a pas commis plusieurs erreurs particulièrement lourdes et répétées, constitutives de violations graves de ses devoirs de magistrate et fondant une suspicion de partialité. Tous les griefs du requérant tirés d’une violation de l’art. 56 let. f CPP, manifestement infondés, doivent par conséquent être rejetés.</w:t>
      </w:r>
    </w:p>
    <w:p>
      <w:r>
        <w:rPr>
          <w:b/>
        </w:rPr>
        <w:t>E. 4</w:t>
      </w:r>
    </w:p>
    <w:p>
      <w:r>
        <w:t>Il résulte de ce qui précède que la demande de récusation présentée le 2 mars 2022 par X.________ à l'encontre de la Vice-présidente P.________ doit être rejetée dans la mesure de sa très faible recevabilité. Les frais de procédure, par 1’100 fr. (art. 20 al. 1 TFIP [tarif des frais de procédure et indemnités en matière pénale du 28 septembre 2010 ; BLV 312.03.1]), seront mis à la charge du requérant (art. 59 al. 4 CPP). Par ces motifs, la Chambre des recours pénale prononce : I. La demande de récusation présentée le 2 mars 2022 par X.________ contre la Vice-présidente P.________ est rejetée dans la mesure où elle est recevable. II. Les frais de procédure, par 1'100 fr. (mille cent francs), sont mis à la charge de X.________. III. La décision est exécutoire. La présidente : La greffière : Du La présente décision, dont la rédaction a été approuvée à huis clos, est notifiée, par l'envoi d'une copie complète, à : - Me Laurent Maire, avocat (pour X.________), - Me Jacques Emery, avocat (pour Z.________), - Ministère public central, et communiquée à : - Mme la Présidente du Tribunal de police de l’arrondissement de La Côte,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