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207 vom 25. März 2022</w:t>
      </w:r>
    </w:p>
    <w:p>
      <w:r>
        <w:t>VD Tribunal cantonal, 2022-03-25, FR</w:t>
      </w:r>
    </w:p>
    <w:p>
      <w:r>
        <w:rPr>
          <w:b/>
        </w:rPr>
        <w:t xml:space="preserve">Quelle: </w:t>
      </w:r>
      <w:r>
        <w:t>https://mcp.opencaselaw.ch/entscheid/vd_findinfo_D_cision___2022___207</w:t>
      </w:r>
    </w:p>
    <w:p>
      <w:r>
        <w:t>FR: VD_FINDINFO Décision / 2022 / 207 du 25 mars 2022</w:t>
      </w:r>
    </w:p>
    <w:p>
      <w:r>
        <w:t>IT: VD_FINDINFO Décision / 2022 / 207 del 25 marzo 2022</w:t>
      </w:r>
    </w:p>
    <w:p>
      <w:pPr>
        <w:pStyle w:val="Heading2"/>
      </w:pPr>
      <w:r>
        <w:t>Regeste</w:t>
      </w:r>
    </w:p>
    <w:p>
      <w:r>
        <w:t>255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 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fait valoir que la mesure contestée ne serait pas apte à élucider les infractions envisagées car il a admis les faits, soit des relations sexuelles avec P.________ et des envois de photographies à caractère sexuel à S.________. Il soutient également qu’il n’y aurait aucun indice concret qu’il ait commis des infractions de cette nature par le passé ou qu’il en commettra dans le futur. L’établissement de son profil ADN ne serait ainsi pas nécessaire pour élucider les faits de l’affaire et serait par conséquent disproportionné. Le recourant fait enfin valoir que la mesure serait disproportionnée et violerait l’interdiction de la fishing expedition . Sur ce point, il relève notamment que l’extraction des données téléphoniques et ses aveux seraient suffisants pour atteindre le but visé, à savoir établir les faits. De plus, l’expertise psychiatrique ordonnée constituerait une autre mesure de contrainte et pourrait permettre de déterminer concrètement le risque de commission d’éventuelles infractions futures. En ordonnant l’établissement du profil ADN en amont du résultat de l’expertise, le Ministère public se livrerait donc à une recherche indéterminée de preuves.</w:t>
      </w:r>
    </w:p>
    <w:p>
      <w:r>
        <w:rPr>
          <w:b/>
        </w:rPr>
        <w:t>E. 2.2.1</w:t>
      </w:r>
    </w:p>
    <w:p>
      <w:r>
        <w:t>Aux termes de l’art.</w:t>
      </w:r>
    </w:p>
    <w:p>
      <w:r>
        <w:rPr>
          <w:b/>
        </w:rPr>
        <w:t>E. 2.2.2</w:t>
      </w:r>
    </w:p>
    <w:p>
      <w:r>
        <w:t>Une recherche indéterminée de moyens de preuve (« fishing expedition »), est prohibée par le droit de procédure pénale (TF 6B_335/2020 du 7 septembre 2020 consid. 3.3.3; cf. aussi TF 1B_313/2020 et 1B_314/2020 du 4 novembre 2020 consid. 5; TF 1B_726/2012 du 26 février 2013 consid. 5.2).</w:t>
      </w:r>
    </w:p>
    <w:p>
      <w:r>
        <w:rPr>
          <w:b/>
        </w:rPr>
        <w:t>E. 2.2.3</w:t>
      </w:r>
    </w:p>
    <w:p>
      <w:r>
        <w:t>En application de l'art. 187 ch. 1 CP (Code pénal suisse du 21 décembre 1937 ; RS 311.0),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rPr>
          <w:b/>
        </w:rPr>
        <w:t>E. 2.3</w:t>
      </w:r>
    </w:p>
    <w:p>
      <w:r>
        <w:t>En l’espèce, comme l’affirme le recourant, il n’a pas d’antécédents judiciaires et il a admis les infractions qui lui sont reprochées, soit des relations sexuelles avec […] et des envois de photographies à caractère sexuel à […]. Elles n’en demeurent pas moins d’une gravité certaine et le fait qu’en l’état, seules ces deux jeunes filles semblent avoir été confrontées à ses agissements n’est pas suffisant pour retenir qu’aucune infraction n’aurait été commise sur d’autres jeunes filles. En effet, on rappellera que le prévenu a encore créé trois faux profils de jeunes filles de treize ans afin de satisfaire ses fantasmes, que son comportement délictueux s’intègre dans un contexte de consommation problématique d’alcool, et que ses agissements dénotent un mépris avéré pour l’intégrité sexuelle de jeunes filles mineures. Par ailleurs, les relations de l’intéressé avec deux filles de douze et treize ans et celles avec trois filles de treize ans inventées par celui-ci, permettent d’admettre l’existence de soupçons concrets d’attirance affective et sexuelle pour des filles mineures. Une expertise psychiatrique a d’ailleurs été mise en œuvre pour déterminer si E.________ souffre de pédophilie. Dans ces circonstances, il existe des soupçons qu’il ait pu commettre d’autres actes à caractère sexuel par le passé, ou qu’il serait susceptible d’en commettre à l’avenir, étant à cet égard rappelé que ses victimes ne se limitent pas au cercle familial, puisque l’une d’elles a été rencontrée par l’intermédiaire d’Instagram. Au vu des faits à élucider, seul l’établissement d’un profil ADN est envisageable, aucune autre mesure moins sévère ne permettant d’atteindre le même but. Compte tenu de la gravité des infractions en cause, cette mesure respecte au surplus le principe de proportionnalité et le fait que le résultat de l’expertise psychiatrique ne soit pas encore connu n’y change rien. Par ailleurs dans un arrêt du 11 mars 2022 (n° 167), la Chambre de céans a confirmé la prolongation de la détention provisoire du prévenu pour une durée de trois mois, en raison d’un risque de récidive élevé. Par surabondance, on rappellera qu’il incombe à l’autorité de poursuite pénale de respecter la maxime de l’instruction, et donc de mettre en œuvre tous les moyens licites utiles permettant d’élucider les faits. Ainsi, même si le prévenu a admis les faits qui lui sont actuellement reprochés, il n’est pas exclu qu’il revienne sur ses aveux. Dans une telle perspective, l’instruction pourrait alors se révéler lacunaire si on se privait de ce moyen de preuve. Ainsi, le fait que E.________ ait formulé des aveux ne dispense à lui seul pas la direction de la procédure de procéder à l’établissement du profil ADN de celui-ci.</w:t>
      </w:r>
    </w:p>
    <w:p>
      <w:r>
        <w:rPr>
          <w:b/>
        </w:rPr>
        <w:t>E. 2.4</w:t>
      </w:r>
    </w:p>
    <w:p>
      <w:r>
        <w:t>S’agissant du moyen en relation avec une recherche indéterminée de preuves, on relèvera que la mesure contestée se justifie en raison de soupçons concrets de commission d’autres infractions similaires. La mise en œuvre de l’expertise psychiatrique de E.________, même si elle permettra probablement d’éclaircir la personnalité du recourant, ne permet pas non plus de renoncer à cette mesure, qui apparaît ainsi proportionnée au but visé compte tenu des intérêts à protéger. On ne saurait par conséquent reprocher au Ministère public une fishing expedition par l’intermédiaire de l’établissement du profil ADN du recourant. 3. Au vu de ce qui précède, le recours, manifestement mal fondé, doit être rejeté sans échange d’écritures (art. 390 al. 2 CPP)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585 fr. sur la base d’une durée d’activité nécessaire d’avocat-stagiaire estimée à 4h30 au tarif horaire de 110 fr., et d’une durée de 0h30 d’activité nécessaire d’avocat breveté au tarif horaire de 180 fr., auxquels il convient d’ajouter des débours forfaitaires à concurrence de 2 % (art. 3bis al. 1 RAJ [Règlement sur l’assistance judiciaire en matière civile du 7 décembre 2010 ; BLV 211.02.3], applicable par renvoi de l’art. 26b TFIP), par</w:t>
      </w:r>
    </w:p>
    <w:p>
      <w:r>
        <w:rPr>
          <w:b/>
        </w:rPr>
        <w:t>E. 7</w:t>
      </w:r>
    </w:p>
    <w:p>
      <w:r>
        <w:t>al. 1 let. a de la loi sur les profils ADN (loi fédérale sur l’utilisation de profils d’ADN dans les procédures pénales et sur l’identification de personnes inconnues ou disparues ; RS 363), la police, l’autorité d’instruction pénale ou le tribunal pénal (autorités qui ordonnent les mesures) peuvent ordonner le prélèvement non invasif d’échantillons sur des personnes et l’analyse de ces échantillons pour l’établissement d’un profil ADN (CREP 22 septembre 2020/598). Selon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w:t>
      </w:r>
    </w:p>
    <w:p>
      <w:r>
        <w:rPr>
          <w:b/>
        </w:rPr>
        <w:t>E. 8</w:t>
      </w:r>
    </w:p>
    <w:p>
      <w:r>
        <w:t>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les éventuels antécédents de la personne prévenue ; si elle n’en a pas, cela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précité consid. 3.4; TF 1B_285/2020 du 22 avril 2021, destiné à la publication, consid. 2.1). Il s’impose d’examiner chaque cas individuel pour ordonner l’établissement d’un profil ADN (ATF 141 IV 87 consid. 1.4.2, JdT 2015 IV 280 ; CREP 4 novembre 2021/987 consid. 2.1 ; CREP 7 octobre 2021/940 consid. 2.2).</w:t>
      </w:r>
    </w:p>
    <w:p>
      <w:r>
        <w:rPr>
          <w:b/>
        </w:rPr>
        <w:t>E. 11</w:t>
      </w:r>
    </w:p>
    <w:p>
      <w:r>
        <w:t>fr. 70, et la TVA, par 45 fr. 95, soit à 643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24 février 2022 est confirmée. III. L’indemnité allouée au défenseur d’office de E.________ est fixée à 643 fr. (six cent quarante-trois francs). IV. Les frais d’arrêt, par 990 fr. (neuf cent nonante francs), ainsi que l’indemnité due au défenseur d’office de E.________, par 643 fr. (six cent quarante-trois francs), sont mis à la charge de E.________. V. Le remboursement à l'Etat de l'indemnité allouée au chiffre III ci-dessus ne sera exigible que pour autant que la situation financière de E.________ le permette. VI. L’arrêt est exécutoire. La présidente :               La greffière : Du Le présent arrêt, dont la rédaction a été approuvée à huis clos, est notifié, par l'envoi d'une copie complète, à : - Me Arnaud Thièry, avocat (pour E.________),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