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206 vom 9. März 2022</w:t>
      </w:r>
    </w:p>
    <w:p>
      <w:r>
        <w:t>VD Tribunal cantonal, 2022-03-09, FR</w:t>
      </w:r>
    </w:p>
    <w:p>
      <w:r>
        <w:rPr>
          <w:b/>
        </w:rPr>
        <w:t xml:space="preserve">Quelle: </w:t>
      </w:r>
      <w:r>
        <w:t>https://mcp.opencaselaw.ch/entscheid/vd_findinfo_D_cision___2022___206</w:t>
      </w:r>
    </w:p>
    <w:p>
      <w:r>
        <w:t>FR: VD_FINDINFO Décision / 2022 / 206 du 9 mars 2022</w:t>
      </w:r>
    </w:p>
    <w:p>
      <w:r>
        <w:t>IT: VD_FINDINFO Décision / 2022 / 206 del 9 marzo 2022</w:t>
      </w:r>
    </w:p>
    <w:p>
      <w:pPr>
        <w:pStyle w:val="Heading2"/>
      </w:pPr>
      <w:r>
        <w:t>Regeste</w:t>
      </w:r>
    </w:p>
    <w:p>
      <w:r>
        <w:t>LOI FÉDÉRALE SUR LA PROCÉDURE PÉNALE APPLICABLE AUX MINEURS, PROFIL D'ADN, MOTIVATION DE LA DÉCISION, DROIT D'ÊTRE ENTENDU, ADMISSION DE LA DEMANDE | 29 al. 2 Cst., 36 Cst., 197 al.1 CPP (CH), 255 CPP (CH), 3 al. 1 PPMin</w:t>
      </w:r>
    </w:p>
    <w:p>
      <w:pPr>
        <w:pStyle w:val="Heading2"/>
      </w:pPr>
      <w:r>
        <w:t>Erwägungen</w:t>
      </w:r>
    </w:p>
    <w:p>
      <w:r>
        <w:rPr>
          <w:b/>
        </w:rPr>
        <w:t>E. 1</w:t>
      </w:r>
    </w:p>
    <w:p>
      <w:r>
        <w:t>CPP) et satisfaisant aux conditions de forme prescrites (art. 385 al. 1 CPP), le recours est recevable. Le recourant a adressé le 3 février 2022, soit après le délai de recours, un complément à son recours ainsi qu’une pièce nouvelle. La question de la recevabilité de cet envoi intervenu en dehors du délai légal peut demeurer indécise dès lors que le recours initial doit de toute manière être admis pour les motifs exposés ci-après.</w:t>
      </w:r>
    </w:p>
    <w:p>
      <w:r>
        <w:rPr>
          <w:b/>
        </w:rPr>
        <w:t>E. 1.1</w:t>
      </w:r>
    </w:p>
    <w:p>
      <w:r>
        <w:t>Aux termes de l'art. 3 al. 1 PPMin (loi fédérale sur la procédure pénale applicable aux mineurs du 20 mars 2009 ; RS 312.1), le CPP (Code de procédure pénale suisse du 5 octobre 2007 ; RS 312.0) est applicable à la poursuite des infractions commises par des mineurs, sauf dispositions particulières de la PPMin. Selon l’art. 30 PPMin, l’autorité d’instruction – qui, dans le canton de Vaud, est le juge des mineurs (art. 3 al. 1 let. b et 8 LVPPMin [loi vaudoise d’introduction de la loi fédérale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d’établissement d’un profil ADN au sens de l’art. 255 CPP. La décision ordonnant l’établissement d’un profil ADN est susceptible d’un recours au sens des art. 393 ss CPP (Moreillon/Parein-Reymond, Petit commentaire du Code de procédure pénale, 2 e éd., Bâle 2016, n. 12 ad art. 393 CPP). La compétence pour statuer sur les recours appartient à l'autorité de recours des mineurs (art. 39 al. 3 PPMin ; cf. art. 7 al. 1 let. c PPMin) qui est, dans le canton de Vaud, la Chambre des recours pénale du Tribunal cantonal (art. 18 LVPPMin). Le recours doit être adressé par écrit dans un délai de dix jours dès la notification de la décision attaquée (cf. art. 384 let. b CPP).</w:t>
      </w:r>
    </w:p>
    <w:p>
      <w:r>
        <w:rPr>
          <w:b/>
        </w:rPr>
        <w:t>E. 1.2</w:t>
      </w:r>
    </w:p>
    <w:p>
      <w:r>
        <w:t>En l’espèce, interjeté en temps utile devant l’autorité compétente par le prévenu mineur qui a qualité pour recourir (art. 38 al. 1 let. a PPMin ; art. 382 al.</w:t>
      </w:r>
    </w:p>
    <w:p>
      <w:r>
        <w:rPr>
          <w:b/>
        </w:rPr>
        <w:t>E. 2.1</w:t>
      </w:r>
    </w:p>
    <w:p>
      <w:r>
        <w:t>Le recourant invoque une violation de son droit d’être entendu en ce sens que la motivation de l’ordonnance serait insuffisante. Il fait en outre valoir qu’il n’y aurait pas de soupçons suffisants d’infractions, les faits litigieux reposant exclusivement sur les accusations de la plaignante, lesquelles seraient contredites par de nombreux éléments. Il se prévaut encore de l’absence d’indices sérieux et concrets laissant supposer la commission d’autres infractions de même nature, relevant à ce titre qu’une condamnation pour vol et injure, d’une part, et un acquittement pour voies de faits, contrainte sexuelle et désagréments causés par la confrontation à un acte d’ordre sexuel, d’autre part, ne sauraient fonder de tels indices.</w:t>
      </w:r>
    </w:p>
    <w:p>
      <w:r>
        <w:rPr>
          <w:b/>
        </w:rPr>
        <w:t>E. 2.2.1</w:t>
      </w:r>
    </w:p>
    <w:p>
      <w:r>
        <w:t>Le droit d’être entendu garanti à l'art. 29 al. 2 Cst.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141 IV 249 consid. 1.3.1 ; ATF 139 IV 179 consid. 2.2 ; TF 6B_738/2021 du 18 mars 2022 consid. 2.1 et les réf. cit.). Il n'est pas tenu de discuter tous les arguments soulevés par les parties, mais peut se limiter à l'examen des questions décisives pour l'issue du litige (ATF 142 II 154 consid. 4.2 ; ATF 139 IV 179 précité ; TF 6B_738/2021 précité). Dès lors que l'on peut discerner les motifs qui ont guidé la décision de l'autorité, le droit à une décision motivée est respecté, même si la motivation présentée est erronée (ATF 141 IV 557 consid. 3.2.1 ; TF 6B_738/2021 précité). Le droit d'être entendu est une garantie constitutionnelle de caractère formel, dont la violation entraîne en principe l'annulation de la décision, indépendamment des chances de succès du recours sur le fond (ATF 135 I 187 consid. 2.2 ; ATF 122 II 464 consid. 4a). Lorsqu'on ne voit pas quelle influence sa violation a pu avoir sur la procédure, il n'y a cependant pas lieu d'annuler la décision attaquée (ATF 143 IV 380 consid. 1.4.1 ; TF 6B_249/2021 du 3 septembre 2021 consid. 6.1). Une telle violation peut également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6B_854/2018 du 23 octobre 2018 consid. 3.3). La Chambre des recours pénale dispose d'un tel pouvoir d'examen, permettant de guérir le vice procédural invoqué (art. 398 al. 2 CPP).</w:t>
      </w:r>
    </w:p>
    <w:p>
      <w:r>
        <w:rPr>
          <w:b/>
        </w:rPr>
        <w:t>E. 2.2.2</w:t>
      </w:r>
    </w:p>
    <w:p>
      <w:r>
        <w:t>Aux termes de l’art. 255 al. 1 CPP, pour élucider un crime ou un délit, le prélèvement d'un échantillon et l'établissement d'un profil d'ADN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Selon l’art. 7 al. 1 let. a de la loi fédérale sur les profils d’ADN (loi fédérale sur l’utilisation de profils d’ADN dans les procédures pénales et sur l’identification de personnes inconnues ou disparues du 20 juin 2003 ; RS 363), applicable par renvoi de l’art. 259 CPP, la police, l’autorité d’instruction pénale ou le tribunal pénal peuvent ordonner le prélèvement non invasif d’échantillons sur des personnes et l’analyse de ces échantillons pour l’établissement d’un profil ADN (CREP 22 septembre 2020/598). Les mesures de reconnaissance et la conservation des données peuvent porter atteinte au droit à la liberté personnelle (art. 10 Cst.) et à la libre détermination de la sphère privée, respectivement à la protection contre l'emploi abusif de données personnelles (art. 13 al. 2 Cst. et 8 CEDH ; ATF 147 I 372 consid. 2.2 ; ATF 145 IV 263 consid. 3.4, JdT 2019 IV 327). Elles doivent ainsi être fondées sur une base légale suffisamment claire et précise, être justifiées par un intérêt public et être proportionnées au but visé (art. 36 al. 1 à 3 Cst. ; ATF 147 I 372 consid. 2.3 ; TF 1B_409/2021 du 3 janvier 2022 consid. 4.2). L’art. 255 CPP n’autorise pas le prélèvement d’échantillons d’ADN et leur analyse de manière systématique (ATF 147 I 372 consid. 2.1 ; ATF 145 IV 263 consid. 3.4). Ceci est concrétisé par l’art. 197 al. 1 CPP, qui dispose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 ATF 145 IV 263 consid. 3.4). Pour constituer des soupçons suffisants, les indices laissant présumer qu’une infraction a été commise doivent être sérieux et concrets (ATF 141 IV 87 consid. 1.3.1, JdT 2015 IV 280). L’établissement d'un profil ADN qui ne sert pas à élucider une infraction pour laquelle une instruction pénale est en cours n'est conforme au principe de la proportionnalité que s'il existe des indices sérieux et concrets que le prévenu pourrait être impliqué dans d'autres infractions, mêmes futures. Il doit toutefois s’agir d’infractions d’une certaine gravité. Il convient à cet égard également de prendre en considération les éventuels antécédents du prévenu ; s’il n’en a pas, cela n’exclut pas pour autant l'établissement d'un profil ADN, mais il faudra tenir compte de cet élément dans la pesée d'intérêts à réaliser (ATF 145 IV 263 consid. 3.4 ; TF 1B_409/2021 précité consid. 4.3). Le fait qu'il n'existe pas de soupçons suffisants qui laissent présumer une infraction au sens de l'art. 197 al. 1CPP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147 I 372 consid. 2.1 ; ATF 145 IV 263 consid. 3.4). Il s’impose d’examiner chaque cas individuel pour ordonner l’établissement d’un profil ADN (ATF 141 IV 87 consid. 1.4.2 ; CREP 4 novembre 2021/987 consid. 2.1 ; CREP 7 octobre 2021/940 consid 2.2).</w:t>
      </w:r>
    </w:p>
    <w:p>
      <w:r>
        <w:rPr>
          <w:b/>
        </w:rPr>
        <w:t>E. 2.3</w:t>
      </w:r>
    </w:p>
    <w:p>
      <w:r>
        <w:t>En l’espèce, la Présidente du Tribunal des mineurs s’est bornée à indiquer en substance que l’établissement d’un profil ADN contribuerait à élucider un crime ou un délit, qu’au vu des faits reprochés dans le domaine des infractions contre l’intégrité sexuelle, il existait des indices sérieux et concrets d’autres infractions de nature identique, même futures, et qu’au vu de ces infractions en cause, l’intérêt public primait, de sorte que la mesure était proportionnée. Cette motivation très générale est insuffisante. Il ne s’agit là que d’affirmations non étayées, alors qu’il convenait de faire la démonstration de la réalisation des conditions légales permettant d’ordonner la mesure. En particulier, l’ordonnance attaquée ne permet pas de déterminer en quoi le profil ADN serait nécessaire pour élucider les infractions de contrainte sexuelle et de pornographie pour lesquelles le recourant est incriminé. Il n’apparaît au demeurant que tel puisse être le cas. En effet, l’autorité de poursuite pénale ne semble pas avoir procédé à des prélèvements ADN sur le lieu de l’infraction, d’une part, et le prévenu ne conteste par ailleurs pas avoir eu des relations avec l’intimée, d’autre part. Il est ainsi douteux que l’établissement du profil ADN du recourant puisse servir à l’élucidation des infractions qui lui sont reprochées. L’ordonnance attaquée n’indique pas non plus la raison pour laquelle les faits qui lui sont reprochés constitueraient des indices concrets et sérieux qu’il pourrait avoir commis ou pourrait commettre d’autres infractions contre l’intégrité sexuelle. Enfin, elle ne discute pas de manière précise en quoi la mesure respecterait le principe de proportionnalité. Contrairement à ce que retient la Présidente du Tribunal des mineurs, le but d’un prélèvement ADN n’est pas d’avoir un effet préventif sur l’auteur, mais de permettre d’élucider des infractions passées, actuelles ou futures. En définitive, force est de constater que l’ordonnance attaquée viole le droit d’être entendu du recourant, dès lors que la motivation ne lui permet pas de se rendre compte de la portée de la décision et d’exercer son droit de recours à bon escient, respectivement à l’autorité de recours d’exercer son contrôle. Quand bien même la Chambre des recours pénale dispose d’un plein pouvoir d’examen, il n’appartient pas à cette dernière de réparer cette violation et le recourant doit pouvoir bénéficier de la garantie de la double instance (cf. CREP 28 février 2022/144 consid. 2.4 ; CREP 30 septembre 2021/921 consid. 2.4 ; CREP 14 juillet 2021/643 consid. 3.4). Il appartiendra dès lors à la Présidente du Tribunal des mineurs de rendre une nouvelle décision dûment motivée conformément aux exigences déduites de l’art. 29 al. 2 Cst., afin d’expliquer en tout cas l’existence de soupçons suffisants, la pertinence respectivement la nécessité de ce mode de preuve et sa justification au regard de l’intérêt public et de la restriction aux droits fondamentaux qu’elle induit (cf. art. 36 al. 1 à</w:t>
      </w:r>
    </w:p>
    <w:p>
      <w:r>
        <w:rPr>
          <w:b/>
        </w:rPr>
        <w:t>E. 3</w:t>
      </w:r>
    </w:p>
    <w:p>
      <w:r>
        <w:t>Au vu de ce qui précède, le recours doit être admis et l’ordonnance entreprise annulée. Le dossier de la cause sera renvoyé à la Présidente du Tribunal des mineurs pour qu’elle procède dans le sens des considérants dans un délai de dix jours dès la notification du présent arrêt, à défaut de quoi le prélèvement ADN concerné, non exploitable, devra être détruit. La liste des opérations produites par le défenseur d’office du recourant fait état d’un temps total consacré à la procédure de recours de 6h50 d’activité d’avocat au tarif horaire de 180 fr., ainsi que des débours par 61 fr. 45. Au regard de la nature de la présente cause, le temps consacré par l’avocate est excessif. On réduira ainsi à 3 heures les opérations liées à la rédaction du recours et à trente minutes le temps passé pour les recherches juridiques ainsi que le courrier d’envoi à l’autorité de recours. L’établissement du bordereau de pièces ne sera pas comptabilisé puisqu’il s’agit d’un travail de secrétariat qui fait partie des frais généraux. Ainsi, 3 heures et trente minutes d’activité nécessaire d’avocat seront indemnisées au tarif horaire de 180 fr. auxquelles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12 fr. 60, plus la TVA au taux de 7,7%, par 49 fr. 50, ce qui donne à 693 fr. au total en chiffres arrondis. Vu le sort du recours, les frais de la procédure, constitués en l’espèce de l’émolument d'arrêt, par 495 fr. (art. 20 al. 1 et 2 TFIP), et des frais imputables à la défense d’office du recourant (art. 422 al. 1 et 2 let. a CPP applicable par renvoi de l’art. 44 al. 2 PPMin), fixés à 693 fr., seront laissés à la charge de l’Etat (art. 423 al. 1 CPP). Le remboursement à l'Etat de l'indemnité allouée au défenseur d'office du recourant ne sera exigible que pour autant que la situation financière de ce dernier le permette (art. 135 al. 4 CPP). Par ces motifs, la Chambre des recours pénale prononce : I. Le recours est admis. II. L’ordonnance du 4 janvier 2022 est annulée. III. Le dossier de la cause est renvoyé à la Présidente du Tribunal des mineurs pour qu’elle procède dans le sens des considérants dans un délai de dix jours dès la notification du présent arrêt, à défaut de quoi le prélèvement ADN n°  [...] devra être détruit. IV. L’indemnité allouée au défenseur d’office de T.________ est fixée à 693 fr. (six cent nonante-trois francs). V. Les frais d’arrêt, par 495 fr. (quatre cent nonante-cinq francs), ainsi que l’indemnité due au défenseur d’office de T.________, par 693 fr. (six cent nonante-trois francs), sont laissés à la charge de l’Etat. VI. L’arrêt est exécutoire. La présidente :               La greffière ad hoc : Du Le présent arrêt, dont la rédaction a été approuvée à huis clos, est notifié, par l'envoi d'une copie complète, à : - Me Tracy Salamin, avocate (pour T.________),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ad hoc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