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205 vom 21. März 2022</w:t>
      </w:r>
    </w:p>
    <w:p>
      <w:r>
        <w:t>VD Tribunal cantonal, 2022-03-21, FR</w:t>
      </w:r>
    </w:p>
    <w:p>
      <w:r>
        <w:rPr>
          <w:b/>
        </w:rPr>
        <w:t xml:space="preserve">Quelle: </w:t>
      </w:r>
      <w:r>
        <w:t>https://mcp.opencaselaw.ch/entscheid/vd_findinfo_D_cision___2022___205</w:t>
      </w:r>
    </w:p>
    <w:p>
      <w:r>
        <w:t>FR: VD_FINDINFO Décision / 2022 / 205 du 21 mars 2022</w:t>
      </w:r>
    </w:p>
    <w:p>
      <w:r>
        <w:t>IT: VD_FINDINFO Décision / 2022 / 205 del 21 marzo 2022</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de F.________ est recevable.</w:t>
      </w:r>
    </w:p>
    <w:p>
      <w:r>
        <w:rPr>
          <w:b/>
        </w:rPr>
        <w:t>E. 2.1</w:t>
      </w:r>
    </w:p>
    <w:p>
      <w:r>
        <w:t>Le recourant conteste avoir commis les faits qui lui sont reprochés. Il relève qu’il serait totalement incompréhensible, si les faits s’étaient véritablement déroulés comme la victime le prétend, que celle-ci ait attendu jusqu’en novembre 2021 pour déposer plainte. Cela permettrait de douter légitimement de la véracité de ses dires et ne saurait justifier une mise en détention provisoire pour trois mois. Dans la même logique, il serait surprenant que la victime ne se soit pas confiée à sa mère, celle-ci ayant déclaré que sa fille lui en avait uniquement parlé avant d’aller au poste de police. Quant à ses antécédents, ils dateraient de 2018 et il était mineur, de sorte qu’ils ne pourraient permettre de justifier aujourd’hui l’existence de forts soupçons à son encontre. Il aurait en outre été en couple en juillet 2019 et n’aurait pas entretenu de relations sexuelles avec une autre personne que son amie.</w:t>
      </w:r>
    </w:p>
    <w:p>
      <w:r>
        <w:rPr>
          <w:b/>
        </w:rPr>
        <w:t>E. 2.2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1B_572/2021 du 5 novembre 2021 consid. 2.1 ; Chaix, op. cit., n. 6 ad art. 221 CPP). A l'instar du juge du séquestre, le juge de la détention n'est toutefois pas tenu, à ce stade de la procédure, de résoudre des questions juridiques complexes (ATF 141 IV 360 consid. 3.2 ; TF 1B_211/2017 du 27 juin 2017 consid. 2.1, JdT 2018 IV 39).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1B_1/2022 du 17 janvier 2022 consid. 3.1 ; Forster, in : Niggli/Heer/Wiprächtiger [éd.], Basler Kommentar, Schweizerische Strafprozess-ordnung, 2 e éd., Bâle 2014, n. 3 ad art. 221 CPP).</w:t>
      </w:r>
    </w:p>
    <w:p>
      <w:r>
        <w:rPr>
          <w:b/>
        </w:rPr>
        <w:t>E. 2.3</w:t>
      </w:r>
    </w:p>
    <w:p>
      <w:r>
        <w:t>En l’espèce, contrairement à ce que soutient le recourant, on dispose, à ce stade de l’enquête, d’indices concrets de culpabilité. En effet, lors de son audition vidéo du 27 novembre 2021, B.________ a décrit les faits de manière précise et détaillée et rien ne permet de mettre en doute ses déclarations. En outre, on s’explique mal pour quelle raison elle aurait dénoncé ces faits auprès de la police, accompagnée de sa mère, deux ans après ceux-ci, si aucune relation n’avait eu lieu avec le prévenu. Par ailleurs, les faits reprochés ici à F.________ présentent des similitudes avec ceux commis en 2018 au préjudice de [...] (à trois reprises) et de [...] (à une reprise), pour lesquels il a été condamné en 2020 par la justice de mineurs. En particulier, il a été condamné notamment pour avoir entretenu des relations sexuelles avec des jeunes filles âgées alors de 13 et 15 ans et une de ces deux relations a eu lieu sous la contrainte. De plus, ces relations ont également eu lieu dans un lieu public, à savoir dans un bois ainsi que dans une cave. Or, comme l’a relevé le Ministère public, en l’occurrence, le prévenu s’est étonné qu’on lui reproche d’avoir eu des rapports sexuels à l’extérieur, soit derrière un bâtiment, précisant ne pas être un psychopathe (PV aud. 1 R10). Dans ce contexte, la condition des forts soupçons est réalisée, étant précisé qu’il est fréquent que des victimes d’infractions sexuelles mettent beaucoup de temps avant de saisir les autorités. Au vu de ce qui précède, il apparaît que les soupçons qui pèsent sur le prévenu sont, à ce stade, suffisants.</w:t>
      </w:r>
    </w:p>
    <w:p>
      <w:r>
        <w:rPr>
          <w:b/>
        </w:rPr>
        <w:t>E. 2.9</w:t>
      </w:r>
    </w:p>
    <w:p>
      <w:r>
        <w:t>; TF 1B_570/2021 précité).</w:t>
      </w:r>
    </w:p>
    <w:p>
      <w:r>
        <w:rPr>
          <w:b/>
        </w:rPr>
        <w:t>E. 3</w:t>
      </w:r>
    </w:p>
    <w:p>
      <w:r>
        <w:t>mars 2022 par le procureur, admettant finalement avoir entretenu des relations sexuelles avec [...] et [...], âgées de 13 et 15 ans. Par ailleurs, le moyen du recourant selon lequel il n’a plus été mis en cause pour une quelconque infraction à l’intégrité sexuelle depuis 2018 est inconsistant, les actes qui lui sont reprochés d’avoir commis à l’encontre de B.________ se situant en juillet 2019, soit moins d’une année plus tard. Enfin, dans son jugement du 27 août 2020, le Tribunal des mineurs a souligné le manque d’empathie et d’introspection du prévenu, ainsi qu’une absence de prise de conscience de la gravité de ses actes. Ce constat, alarmant, a été confirmé par les déclarations faites à la police lors de son appréhension. Par conséquent, au vu du de la gravité des actes reprochés au prévenu, qui touchent l’intégrité sexuelle d’enfants, de son comportement, de ses déclarations fluctuantes, de son manque de prise de conscience, de sa « haine » et de son désir de vengeance à l’égard des filles qu’il « chope », le risque qu’il commette des faits analogues apparaît élevé. Le risque de réitération est concret et le fait que F.________ puisse avoir été en couple à ce moment-là n’est pas décisif dans ce contexte particulier.</w:t>
      </w:r>
    </w:p>
    <w:p>
      <w:r>
        <w:rPr>
          <w:b/>
        </w:rPr>
        <w:t>E. 3.1</w:t>
      </w:r>
    </w:p>
    <w:p>
      <w:r>
        <w:t>Le recourant expose qu’il n’a plus été mis en cause pour une quelconque infraction à l’intégrité sexuelle depuis 2018, soit depuis quatre ans, de sorte que le risque de réitération ne serait pas concret.</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1B_570/2021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w:t>
      </w:r>
    </w:p>
    <w:p>
      <w:r>
        <w:rPr>
          <w:b/>
        </w:rPr>
        <w:t>E. 3.3</w:t>
      </w:r>
    </w:p>
    <w:p>
      <w:r>
        <w:t>En premier lieu on relèvera que F.________ a des antécédents pour des infractions de même nature puisqu’il a été condamné en date du 27 août 2020 par le Tribunal des mineurs notamment pour actes d’ordre sexuel avec des enfants, viol et contrainte sexuelle. D’après ce jugement, les rapports sexuels ont eu lieu en 2018, au préjudice de deux jeunes filles âgées de 13 et 15 ans. Interrogé le 2 mars 2022 à ce sujet par la police, le prévenu a déclaré ce qui suit : « Vous me dites que je suis impliqué dans différentes affaires de mœurs et me demandez de m’expliquer. Oui, elles mentent. Je ne sais pas pourquoi elles m’en veulent. De toute façon je ne vais jamais rien payer pour un acte que je n’ai pas commis. Vous me dites que j’ai tout de même été condamné lors de la dernière affaire. Oui mais pour rien, je n’ai rien fait. Cela me foust (sic) la haine tout ces trucs. Je ne culpabilise même pas, cela me foust (sic) la haine (…). Quand je chope une fille je me venge. Je me venge car je suis très rancunier (...) ». Il est toutefois revenu sur ses déclarations lors de son audition d’arrestation du</w:t>
      </w:r>
    </w:p>
    <w:p>
      <w:r>
        <w:rPr>
          <w:b/>
        </w:rPr>
        <w:t>E. 4.1</w:t>
      </w:r>
    </w:p>
    <w:p>
      <w:r>
        <w:t>Le recourant conteste encore l’existence du risque de collusion. Il fait une nouvelle fois valoir que les faits allégués par la plaignante se seraient déroulés il y a près de trois ans et qu’il aurait ainsi eu la possibilité de s’entretenir maintes fois de cette affaire avec la plaignante ou des tiers ayant participé à la soirée concernée, ce qu’il n’avait pas fait. Il se serait en outre engagé auprès du Ministère public et du Tribunal des mesures de contrainte à ne contacter ni la plaignante, ni les personnes présentes à cette soirée, et à ne pas évoquer cette affaire sur les réseaux sociaux.</w:t>
      </w:r>
    </w:p>
    <w:p>
      <w:r>
        <w:rPr>
          <w:b/>
        </w:rPr>
        <w:t>E. 4.2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 ATF 132 I 21 consid. 3.2 et les références citées). Plus l'instruction se trouve à un stade avancé et les faits sont établis avec précision, plus les exigences relatives à la preuve de l'existence d'un risque de collusion sont élevées (ATF 137 IV 122 consid. 4.2 ; ATF 132 I 21 consid. 3.2.2 ; TF 1B_426/2021 du 27 août 2021 consid. 2.1).</w:t>
      </w:r>
    </w:p>
    <w:p>
      <w:r>
        <w:rPr>
          <w:b/>
        </w:rPr>
        <w:t>E. 4.3</w:t>
      </w:r>
    </w:p>
    <w:p>
      <w:r>
        <w:t>En l’espèce, contrairement à ce que soutient le recourant, l’intensité de ce risque est bien plus importante après qu’il a eu connaissance du dépôt de plainte de B.________. C’est précisément à ce stade seulement que celui-ci a réalisé les conséquences des actes qui lui sont reprochés, ce qui pourrait fortement l’inciter à prendre contact avec des tiers ou avec la victime, ainsi qu’à exercer des pressions notamment sur cette dernière. Ce risque apparaît d’autant plus concret que l’attitude générale du recourant dans cette affaire ne rassure guère. D’ailleurs, et c’est pour le moins révélateur, le recourant a lui-même déclaré dans un premier temps qu’il ne pouvait garantir qu’il n’allait pas prendre contact avec la plaignante et qu’il était sûr de parler de l’affaire sur les réseaux sociaux.  Par ailleurs, comme relevé plus haut lors de l’examen du risque de réitération, entendu le 2 mars 2022 par la police il a déclaré ce qui suit : « Quand je chope une fille je me venge. Je me venge car je suis rancunier, cela continue et c’est un cercle vicieux. Je continue à être harcelé sur les réseaux sociaux. Quand y a une personne qui m’embête je me venge. Je ne fais pas confiance aux filles, à aucune » (PV aud. 1 pp 12 et 13). Ces déclarations démontrent que F.________ pourrait concrètement essayer de contacter B.________ ou les autres personnes présentes le soir des faits, qui n’ont pas encore été entendues, s’il venait à être libéré.</w:t>
      </w:r>
    </w:p>
    <w:p>
      <w:r>
        <w:rPr>
          <w:b/>
        </w:rPr>
        <w:t>E. 5.1</w:t>
      </w:r>
    </w:p>
    <w:p>
      <w:r>
        <w:t>Le recourant invoque une violation du principe de proportionnalité. Sa mise en détention pour une durée de trois mois serait totalement exagérée alors qu’il n’aurait plus été mis en cause pour une quelconque infraction contre l’intégrité sexuelle depuis 2018. Il devrait impérativement être remis en liberté immédiatement afin de pouvoir retourner auprès de sa compagne enceinte et qui aura besoin de lui à ses côtés. Subsidiairement, il demande la mise en œuvre de mesures de substitution mais n’en propose aucune.</w:t>
      </w:r>
    </w:p>
    <w:p>
      <w:r>
        <w:rPr>
          <w:b/>
        </w:rPr>
        <w:t>E. 5.2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5.3</w:t>
      </w:r>
    </w:p>
    <w:p>
      <w:r>
        <w:t>En l’occurrence, on ne voit pas quelles mesures de substitution pourraient, en l’état et au vu de l’attitude adoptée par le prévenu dans la procédure, parer valablement aux risques de réitération et de collusion retenus. Le recourant n’en propose d’ailleurs aucune. Par ailleurs, les faits qui sont reprochés à F.________ sont graves, ce dont il ne parait pas se rendre réellement compte. Il déclare en outre ne plus avoir de contact avec sa famille et n’a aucun projet professionnel, facteurs qui auraient pu contrebalancer les facteurs de risque de récidive retenus plus haut. Quant à son engagement de ne pas prendre contact avec les témoins et la victime, il ne repose que sur sa volonté de s’y conformer, ce qui ne saurait suffire au vu de l’ensemble des éléments rappelés plus haut, notamment en relation avec ses caractéristiques personnelles et singulièrement son absence de prise de conscience. Pour le surplus, le principe de la proportionnalité est à l’évidence respecté puisqu’au terme de la détention provisoire ordonnée par le Tribunal des mesures de contrainte, le recourant aura subi trois mois de détention, ce qui ne saurait être considéré comme excessif au vu de la gravité des faits reprochés, étant rappelé que l’infraction d’actes d’ordre sexuel avec des enfants est punissable d’une peine privative de liberté de cinq ans au plus ou d’une peine pécuniaire (art. 187 ch. 1 CP).</w:t>
      </w:r>
    </w:p>
    <w:p>
      <w:r>
        <w:rPr>
          <w:b/>
        </w:rPr>
        <w:t>E. 6</w:t>
      </w:r>
    </w:p>
    <w:p>
      <w:r>
        <w:t>Au vu de ce qui précède, le recours, manifestement mal fondé, doit être rejeté sans échange d’écritures (art. 390 al. 2 CPP) et l’ordonnance entreprise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450 fr. sur la base d’une durée d’activité nécessaire d’avocat estimée à 2h30 au tarif horaire de 180 fr., auxquels il convient d’ajouter des débours forfaitaires à concurrence de 2 % (art. 3bis al. 1 RAJ [Règlement sur l’assistance judiciaire en matière civile du 7 décembre 2010 ; BLV 211.02.3], applicable par renvoi de l’art. 26b TFIP), par 9 fr. 80, et la TVA, par 35 fr. 35, soit à 495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4 mars 2022 est confirmée. III. L ’indemnité allouée au défenseur d’office de F.________ est fixée à 495 fr. (quatre cent nonante-cinq francs), TVA et débours compris. IV. Les frais d’arrêt, par 1'540 fr. (mille cinq cent quarante francs), ainsi que l’indemnité allouée au défenseur d’office de F.________, par 495 fr. (quatre cent nonante-cinq francs), sont mis à la charge de ce dernier. V. Le remboursement à l'Etat de l’indemnité d’office allouée au chiffre III ci-dessus ne sera exigible que pour autant que la situation financière de F.________ le permette. VI. L’arrêt est exécutoire. La présidente :               La greffière : Du Le présent arrêt, dont la rédaction a été approuvée à huis clos, est notifié, par l'envoi d'une copie complète, à : - Me Simon Perroud, avocat (pour F.________), - Ministère public central, et communiqué à : ‑ Me Anne-Claire Boudry, avocate (pour B.________),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