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202 vom 17. März 2022</w:t>
      </w:r>
    </w:p>
    <w:p>
      <w:r>
        <w:t>VD Tribunal cantonal, 2022-03-17, FR</w:t>
      </w:r>
    </w:p>
    <w:p>
      <w:r>
        <w:rPr>
          <w:b/>
        </w:rPr>
        <w:t xml:space="preserve">Quelle: </w:t>
      </w:r>
      <w:r>
        <w:t>https://mcp.opencaselaw.ch/entscheid/vd_findinfo_D_cision___2022___202</w:t>
      </w:r>
    </w:p>
    <w:p>
      <w:r>
        <w:t>FR: VD_FINDINFO Décision / 2022 / 202 du 17 mars 2022</w:t>
      </w:r>
    </w:p>
    <w:p>
      <w:r>
        <w:t>IT: VD_FINDINFO Décision / 2022 / 202 del 17 marzo 2022</w:t>
      </w:r>
    </w:p>
    <w:p>
      <w:pPr>
        <w:pStyle w:val="Heading2"/>
      </w:pPr>
      <w:r>
        <w:t>Regeste</w:t>
      </w:r>
    </w:p>
    <w:p>
      <w:r>
        <w:t>DÉTENTION PROVISOIRE, RISQUE DE COLLUSION, RISQUE DE RÉCIDIVE, ADMISSION DE LA DEMANDE, MISE EN LIBERTÉ PROVISOIRE | 221 al. 1 let. b CPP (CH), 221 al. 1 let. c CPP (CH)</w:t>
      </w:r>
    </w:p>
    <w:p>
      <w:pPr>
        <w:pStyle w:val="Heading2"/>
      </w:pPr>
      <w:r>
        <w:t>Erwägungen</w:t>
      </w:r>
    </w:p>
    <w:p>
      <w:r>
        <w:rPr>
          <w:b/>
        </w:rPr>
        <w:t>E. 1</w:t>
      </w:r>
    </w:p>
    <w:p>
      <w:r>
        <w:t>Interjeté en temps utile (art. 396 al. 1 CPP [Code de procédure pénale suisse du 5 octobre 2007 ; RS 312.0]) contre une décision du Tribunal des mesures de contrainte dans un cas prévu par la loi (art. 393 al. 1 let. c CPP) par un détenu qui a qualité pour recourir (art. 222 et 382 al. 1 CPP) et selon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w:t>
      </w:r>
    </w:p>
    <w:p>
      <w:r>
        <w:t>Le recourant, qui ne remet pas en cause l’existence de forts soupçons de culpabilité, conteste les risques de collusion et de réitération retenus par le premier juge.</w:t>
      </w:r>
    </w:p>
    <w:p>
      <w:r>
        <w:rPr>
          <w:b/>
        </w:rPr>
        <w:t>E. 3.1.1</w:t>
      </w:r>
    </w:p>
    <w:p>
      <w:r>
        <w:t>Conformément à l’art. 221 al. 1 let. b CPP ,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1B_358/2021 du 16 juillet 2021 consid. 4.2 ; TF 1B_577/2020 du 2 décembre 2020 consid. 3.1)</w:t>
      </w:r>
    </w:p>
    <w:p>
      <w:r>
        <w:rPr>
          <w:b/>
        </w:rPr>
        <w:t>E. 3.1.2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1B_182/2020 du 4 mai 2020 consid. 5.1). S’agissant plus spécifiquement des infractions contre le patrimoine, la jurisprudence récente du Tribunal fédéral délimite strictement les conditions pour détenir provisoirement un prévenu en raison de l’existence d’un risque de réitération (ATF 146 IV 136 consid. 2.2 et 2.3, JdT 2020 IV 264 ; TF 1B_595/2019 du 10 janvier 2020, publié in RSJ 7/2020 pp. 248-249 ; TF 1B_43/2020 du 14 février 2020 consid. 2 ; TF 1B _112/2020 du 20 mars 2020 consid. 3).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 2.2 ; ATF 143 IV 9 consid. 2.7 ; TF 1B_43/2020 précité consid. 2.1 ; TF 1B_11/2020 du 23 janvier 2020 consid. 3.1 ; TF 1B_595/2019 précité consid. 4 ; TF 1B_470/2019 du 16 octobre 2019 consid. 2.2 ; TF 1B_247/2016 du 27 juillet 2016 consid. 2.2). Selon la jurisprudence actuelle, il n'y a en principe mise en danger de la sécurité d'autrui que lors de l'emploi de la force, comme par exemple en cas de brigandage (ATF 146 IV 136 consid. 2.2 ; ATF 143 IV 9 consid. 2.7). Il n'existe une telle mise en danger sans emploi de la force que dans des cas très exceptionnels, particulièrement et objectivement graves (ATF 146 IV 136 consid. 2.2 ; TF 1B_595/2019 précité consid. 4.1 ; TF 1B_32/2017 du 4 mai 2017, publié in : Pra 2017 n. 54 pp. 534 ss., consid. 3.3.5). Pour admettre une sérieuse mise en danger de la sécurité d’autrui, il faut que les infractions contre le patrimoine aient frappé les victimes d’une manière particulièrement dure, c’est-à-dire que l’atteinte soit similaire à celle portée à la victime d’un acte de violence (ATF 146 IV 136 consid. 2.2 et 2.5). Lorsque les infractions au patrimoine ont été commises au préjudice de victimes qui ne peuvent pas avoir connu de difficultés insurmontables en raison de la soustraction opérée (ainsi, par exemple, d’établissements bancaires, de leasing, de grandes entreprises ou d’organismes étatiques), elles ne revêtent en principe pas la gravité nécessaire. A titre d’exemple, une escroquerie à l'aide sociale portant sur 300'000 fr. commise pendant cinq ans ne constitue pas un cas exceptionnel (TF 1B_247/2016 précité consid. 2.2). Dans certaines hypothèses, un délit contre le patrimoine peut frapper une victime aussi durement qu'un acte de violence; ainsi, lorsqu'un auteur dépouille quelqu'un déjà avancé en âge de tout le fruit du travail d'une vie (ATF 146 IV 136 consid. 2.3 et 2.4 et les références citées). D’après le Tribunal fédéral, le point de savoir si, en cas d’infraction particulièrement grave contre le patrimoine, les victimes sont atteintes particulièrement durement, au point quelle puissent être assimilées aux victimes d’actes violents, ne peut être résolu de manière abstraite; cet examen relève toujours des circonstances concrètes du cas (ATF 146 IV 136 consid. 2.5). Les indices suivants peuvent être utilisés pour déterminer la gravité de la mise en danger de la sécurité d’autrui : l’usage d'une arme, y compris par le passé, le montant du préjudice (si celui-ci est élevé, il serait à craindre que le prévenu puisse commettre plus fréquemment des délits graves), les circonstances personnelles du cas, notamment la situation financière des victimes (si celles-ci vivaient dans une situation précaire, le montant du préjudice n'aura pas besoin d'être particulièrement élevé), ainsi que la situation financière et personnelle de l'auteur (par exemple s’il a de gros besoins financiers, notamment en raison d’un train de vie luxueux; ATF 146 IV 136 consid. 2.5).</w:t>
      </w:r>
    </w:p>
    <w:p>
      <w:r>
        <w:rPr>
          <w:b/>
        </w:rPr>
        <w:t>E. 3.2.1</w:t>
      </w:r>
    </w:p>
    <w:p>
      <w:r>
        <w:t>En l'espèce, pour retenir un risque de collusion, le premier juge a indiqué que les opérations d’enquête – dont notamment l’analyse du matériel informatique appartenant à A.________ – étaient toujours en cours en vue d’établir les faits commis dans le canton de Genève par le prévenu, avant qu’un rapport soit déposé par la police en ce sens, qu’à cet égard, il n’était pas exclu que des nouvelles audiences de confrontation soient fixées à l’avenir, en fonction des éléments qui seraient découverts par le biais de l’extraction et de l’analyse du matériel informatique saisi, afin de clarifier les faits reprochés au prévenu, et qu’il était essentiel que celui-ci puisse y être confronté sans pouvoir préalablement convenir d’une version qui lui soit favorable, ce d’autant que le prénommé avait livré des déclarations peu cohérentes et contradictoires avec celles des plaignants ainsi qu’avec les éléments déjà recueillis durant l’enquête. Le magistrat a ajouté que le dossier genevois relatif à la plainte pénale déposée le 20 décembre 2021 par [...] avait été transmis au Ministère public le 31 décembre 2021 et qu’il nécessiterait vraisemblablement des mesures d’investigations supplémentaires, soit notamment des auditions, de sorte qu’il convenait à tout prix d’éviter que, libéré, l’intéressé n’interfère dans l’instruction en cours, en particulier en prenant contact avec les personnes qui pourraient le mettre en cause, et plus particulièrement avec [...] ou les autres plaignants, ce qui compromettrait alors irrémédiablement la recherche de la vérité. Avec le recourant, il faut admettre que dans la mesure où le matériel informatique est déjà en mains de la justice, le prévenu ne peut vraisemblablement plus détruire d’éventuelles données utiles à l’enquête, comme le tribunal l’a d’ailleurs lui-même indiqué (ordonnance, p. 4). Ensuite, la motivation du premier juge, qui relève qu’il n’est pas exclu que des nouvelles audiences de confrontation soient fixées à l’avenir, est trop vague pour qu’un risque de collusion concret puisse, en l’état, être constaté. S’agissant plus particulièrement des faits nouveaux qui font l’objet de la plainte du 20 décembre 2021, force est de constater que le prévenu a renoncé à son audition en lien avec cette dernière plainte (PV des opérations, à la date du 9 mars 2022). A cet égard, on ne saurait non plus retenir le risque qu’il puisse – concrètement – interférer dans l’instruction en cours en cherchant à entrer en contact avec le plaignant [...], dans la mesure où ni la procureure ni le premier juge n’allègue – ni a fortiori démontre – que le recourant aurait par le passé fait pression de quelque manière que ce soit sur l’une ou l’autre des personnes l’ayant mis en cause. D’ailleurs, si un tel risque existait, il se serait déjà réalisé entre mars 2017 et la mise en détention provisoire du prévenu en avril 2021, laps de temps durant lequel celui-ci était libre. Or aucun reproche ne lui a été fait dans ce sens. En outre, le premier juge a justifié à tort le maintien en détention du recourant par le fait que le risque de collusion pourrait demeurer présent jusqu’au procès, moment auquel l’autorité de jugement fonde son intime conviction, se référant à la jurisprudence du Tribunal fédéral 1B_107/2020 du 24 mars 2020. En effet, cet arrêt concerne le risque de collusion entre prévenus d’une bande tous impliqués à des degrés divers, ce qui diffère du cas d’espèce. Pour le reste, compte tenu du stade avancé de l’instruction, qui dure depuis 8 ans, on ne discerne pas en quoi le recourant pourrait d’une manière ou d’une autre compromettre irrémédiablement la recherche de la vérité, comme le soutient abstraitement le tribunal. Force est ainsi de constater que le risque concret de collusion n’est plus réalisé à ce stade.</w:t>
      </w:r>
    </w:p>
    <w:p>
      <w:r>
        <w:rPr>
          <w:b/>
        </w:rPr>
        <w:t>E. 3.2.2</w:t>
      </w:r>
    </w:p>
    <w:p>
      <w:r>
        <w:t>Concernant le risque de récidive, s’il est vrai que le recourant est mis en cause pour avoir poursuivi ses actes délictueux malgré une première période de détention provisoire et qu’il a, par le passé, déjà été condamné pour abus de confiance, la gravité objective des infractions qui lui sont reprochées dans le cadre de la présente procédure est toutefois relative. Tout d’abord, ni les infractions en cause ni les antécédents du prévenu ne font état de violence physique envers des tiers (seule une condamnation pour menaces et injure en 2012 peut être relevée). En outre, les infractions reprochées au recourant n’auraient pas été commises au préjudice de victimes qui auraient connu des difficultés insurmontables en raison des faits litigieux, dès lors que l’intéressé est mis en cause pour avoir vendu des véhicules qui lui auraient été remis en location soit par des privés soit par des sociétés de location/vente, s’enrichissant ainsi du prix de vente. Certes, le nombre d’infractions reprochées au prévenu est important et certaines sont plus graves que d’autres, comme le cas concernant sa voisine de l’époque, [...], qui lui aurait notamment remis plus de 20'000 fr. pour la prétendue création d’une société dans laquelle il lui aurait fait croire qu’elle pourrait travailler, alors qu’il connaissait la situation personnelle et financière difficile de la prénommée, avec laquelle il aurait même entretenu une relation intime à l’époque des faits. Cependant, on ne se trouve pas en présence d’infractions particulièrement graves contre le patrimoine au sens de la jurisprudence précitée (cf. consid. 3.1.2 supra ). D’ailleurs, on relèvera que dans son ordonnance du 12 mai 2021, le Tribunal des mesures de contrainte du canton de Genève a indiqué expressément qu’il n’existait aucun risque de réitération au sens de l’art. 221 al. 1 let. c CPP, alors qu’il était parfaitement au courant de l’instruction menée par les autorités vaudoises. Quant à la plainte du 20 décembre 2021 à laquelle se réfère expressément le tribunal, elle porte sur un montant de 6'720 fr., ce qui ne constitue pas non plus une atteinte particulièrement dure, toujours au sens de la jurisprudence précitée (cf. consid. 3.1.2 supra ). Partant, force est de constater que les comportements répréhensibles du prévenu sont typiquement constitutifs d’infractions contre le patrimoine perturbant la vie en société et portant atteinte à la propriété, mais ne constituent précisément pas un danger pour l'intégrité physique ou psychique des victimes. Or, en présence de telles infractions, une détention provisoire n'est justifiée à raison du risque de récidive que lorsque l'on se trouve en présence d'infractions particulièrement graves, ce qui n’est pas le cas en l’espèce. En conséquence, la prolongation de la détention provisoire d’A.________ en raison du risque de récidive manifeste qu’il présente ne se justifie pas au regard de la jurisprudence stricte du Tribunal fédéral en la matière.</w:t>
      </w:r>
    </w:p>
    <w:p>
      <w:r>
        <w:rPr>
          <w:b/>
        </w:rPr>
        <w:t>E. 3.3</w:t>
      </w:r>
    </w:p>
    <w:p>
      <w:r>
        <w:t>Les conditions de la détention provisoire ne sont ainsi plus réalisées, de sorte qu’A.________ doit être libéré. L'attention d’A.________ est toutefois expressément attirée sur le fait, s’agissant du risque de collusion examiné ci-avant (cf. consid. 3.2.1 supra ), que s’il devait tenter d’influencer l’une ou l’autre des personnes impliquées dans les faits qui lui sont reprochés, plus particulièrement celles le mettant en cause, ou chercher à faire pression sur elles ou à interférer d’une quelconque autre manière dans l’instruction en cours, il serait susceptible d’être immédiatement remis en détention provisoire.</w:t>
      </w:r>
    </w:p>
    <w:p>
      <w:r>
        <w:rPr>
          <w:b/>
        </w:rPr>
        <w:t>E. 4</w:t>
      </w:r>
    </w:p>
    <w:p>
      <w:r>
        <w:t>Il s’ensuit que le recours doit être admis et l’ordonnance querellée réformée en ce sens que la demande de prolongation de la détention provisoire est rejetée, que le recourant est immédiatement libéré pour autant qu’il ne soit pas détenu pour une autre cause et que les frais de l’ordonnance, par 525 fr., sont laissés à la charge de l’Etat. Le défenseur d’office d’A.________ a produit une liste des opérations faisant état d’un temps total consacré à la procédure de recours de 4 heures et 50 minutes (P. 524/4). Cette durée est quelque peu excessive. Il y a lieu de réduire le poste « Etude du dossier » de 2 heure et 55 minutes à 1 heure et 30 minutes, dès lors que la cause était déjà connue de l’avocat, et de retrancher le poste consacré à l’ établissement d’un bordereau , d’une durée de 5 minutes, s’agissant de pur travail de secrétariat faisant partie des frais généraux de l’avocat. En définitive, c’est une indemnité de 600 fr., correspondant à 3 heures et 20 minutes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12 fr., et la TVA (7,7%), par 47 fr. 10, soit de 660 fr. au total en chiffres arrondis, qu’il convient d’allouer à Me Loïc Parein. Vu l’issue du recours, les frais de la procédure de recours, constitués de l’émolument d'arrêt, par 1'430 fr. (art. 20 al. 1 et 2 TFIP), et des frais imputables à la défense d'office (art. 422 al. 1 et 2 let. a CPP), par 660 fr., seront laissés à la charge de l’Etat (art. 423 al. 1 CPP). Par ces motifs, la Chambre des recours pénale prononce : I. Le recours est admis. II. L’ordonnance du 10 février 2022 est réformée comme il suit : I. rejette la requête de prolongation de la détention provisoire et ordonne la mise en liberté immédiate d’A.________, pour autant qu’il ne soit pas détenu pour une autre cause ; II. laisse les frais de l’ordonnance, par 525 fr. (cinq cent vingt-cinq francs), à la charge de l’Etat. III. Il est alloué à Me Loïc Parein une indemnité de défenseur d’office de 660 fr. (six cent soixante francs). IV. Les frais d’arrêt, par 1'430 fr. (mille quatre cent trente francs), ainsi que l’indemnité due à Me Loïc Parein, par 660 fr. (six cent soixante francs), sont laissés à la charge de l’Etat. V. L’arrêt est exécutoire. La présidente :               Le greffier : Du Le présent arrêt, dont la rédaction a été approuvée à huis clos, est notifié, par l'envoi d'une copie complète, à : - Me Loïc Parein, avocat (pour A.________), également par e-fax, - Ministère public central, également par e-fax, et communiqué à : ‑ Mme la Présidente du Tribunal des mesures de contrainte, également par e-fax, - Mme la Procureure de l’arrondissement de Lausanne, également par e-fax, - Direction de la prison du Bois-Mermet, également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