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 vom 7. Dezember 2021</w:t>
      </w:r>
    </w:p>
    <w:p>
      <w:r>
        <w:t>VD Tribunal cantonal, 2021-12-07, FR</w:t>
      </w:r>
    </w:p>
    <w:p>
      <w:r>
        <w:rPr>
          <w:b/>
        </w:rPr>
        <w:t xml:space="preserve">Quelle: </w:t>
      </w:r>
      <w:r>
        <w:t>https://mcp.opencaselaw.ch/entscheid/vd_findinfo_D_cision___2022___2</w:t>
      </w:r>
    </w:p>
    <w:p>
      <w:r>
        <w:t>FR: VD_FINDINFO Décision / 2022 / 2 du 7 décembre 2021</w:t>
      </w:r>
    </w:p>
    <w:p>
      <w:r>
        <w:t>IT: VD_FINDINFO Décision / 2022 / 2 del 7 dicembre 2021</w:t>
      </w:r>
    </w:p>
    <w:p>
      <w:pPr>
        <w:pStyle w:val="Heading2"/>
      </w:pPr>
      <w:r>
        <w:t>Regeste</w:t>
      </w:r>
    </w:p>
    <w:p>
      <w:r>
        <w:t>ORDONNANCE PÉNALE, DÉCISION D'IRRECEVABILITÉ, OPPOSITION{PROCÉDURE}, FORME ÉCRITE, IDENTITÉ | 110 CPP (CH), 129 al. 2 CPP (CH), 396 al. 1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 et al. [éd.], Commentaire romand, Code de procédure pénale suisse, 2 e éd., Bâle 2019, n. 5 ad art. 356 CPP ; Riklin, in : Niggli/Heer/Wiprächtiger [éd.], Basler Kommentar, Schweizerische Strafprozessordnung, Jugendstrafprozessordnung, 2 e éd., Bâle 2014, n. 2 ad art. 356 StPO ; CREP 15 juillet 2021/652 et les références citées). Le recours doit être motivé et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A la qualité pour recourir la partie qui a un intérêt juridiquement protégé à l’annulation ou à la modification de la décision (art. 382 al. 1 CPP).</w:t>
      </w:r>
    </w:p>
    <w:p>
      <w:r>
        <w:rPr>
          <w:b/>
        </w:rPr>
        <w:t>E. 1.2</w:t>
      </w:r>
    </w:p>
    <w:p>
      <w:r>
        <w:t>En l’espèce, le recours a été déposé en temps utile auprès de l’autorité compétente. Il convient d’abord d’examiner s’il respecte les exigences de la forme écrite posées par l’art. 396 al. 1 CPP.</w:t>
      </w:r>
    </w:p>
    <w:p>
      <w:r>
        <w:rPr>
          <w:b/>
        </w:rPr>
        <w:t>E. 2.1.1</w:t>
      </w:r>
    </w:p>
    <w:p>
      <w:r>
        <w:t>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la transmission et la motivation des recours (au sens large), et ce aux art. 396 al. 1, 399, 400 al. 3, 406 et 411 CPP (cf. Lieber, in : Donatsch/Lieber/Summers/Wohlers [éd.], Kommentar zur Schweizerischen Strafprozessordnung, 3 e éd. 2020 [ci-après : Donatsch et al.], n. 1 ad art. 110 CPP ; pour l’opposition au sens de l’art. 354 CPP et la forme écrite, cf. ATF 142 IV 299 consid. 1). Ainsi, le recours (au sens étroit) des art. 393 à 397 CPP doit être « motivé et adressé par écrit » à l’autorité de recours, selon l’art. 396 al. 1 CPP. D’après la jurisprudence du Tribunal fédéral rendue en matière de procédure pénale, dans les cas où la loi exige le respect de la forme écrite, l'acte en cause doit être transmis par écrit, daté et signé (ATF 145 IV 190 consid. 1.3.2, JdT 2019 IV 296 ; ATF 142 IV 299 précité consid. 1.1 et les références citées, JdT 2017 IV 91 ; TF 1B_456/2020 du 8 octobre 2020 consid. 2 ; cf. aussi TF 6B_1048/2019 du 28 janvier 2020 consid. 1.2). De jurisprudence constante, la signature doit être apposée à la main par la partie sur le document écrit en cause (ATF 142 IV 299 précité et les références citées ; TF 6B_307/2021 du 31 mai 2021 consid. 3) ; c’est la raison pour laquelle les actes transmis par télécopie, courriel ou SMS ne respectent pas la forme écrite, car la signature de la partie ne peut pas y figurer en original (ATF 142 IV 299 précité consid. 1.1 et 1.3.3 et les références citées ; ATF 142 V 152 consid. 2.4 et les références citées) ; il en va de même, pour les mêmes raisons, des signatures de la partie qui seraient photocopiées, fac-similées, scannées ou reproduites de toute autre manière (TF 6B_307/2021 précité ; TF 6B_51/2015 du 28 octobre 2015 consid. 2.2 ; TF 6B_902/2013 du 28 octobre 2013 consid. 3.2 ; TF 1B_304/2013 du 27 septembre 2013 consid. 2.2).</w:t>
      </w:r>
    </w:p>
    <w:p>
      <w:r>
        <w:rPr>
          <w:b/>
        </w:rPr>
        <w:t>E. 2.1.2</w:t>
      </w:r>
    </w:p>
    <w:p>
      <w:r>
        <w:t>L’art. 29 al. 1 Cst. (Constitution fédérale de la Confédération suisse du 18 avril 1999 ; RS 101)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consid. 2.4.2 ; ATF 135 I 6 consid. 2.1).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 autorités pénales se conforment notamment au principe de la bonne foi et à l’interdiction de l’abus de droit (ATF 145 I 201 précité ; ATF 142 IV 299 précité consid. 1.3 ; ATF 142 I 10 précité et les références citées). L’exigence du respect de la forme écrite au sens des art. 110 al. 1 et 396 al. 1 CPP précités ne viole pas l’interdiction du formalisme excessif (ATF 142 IV 299 précité consid. 1.3., spéc. consid. 1.3.3 ; ATF 142 I 10 précité ; TF 6B_307/2021 précité).</w:t>
      </w:r>
    </w:p>
    <w:p>
      <w:r>
        <w:rPr>
          <w:b/>
        </w:rPr>
        <w:t>E. 2.1.3</w:t>
      </w:r>
    </w:p>
    <w:p>
      <w:r>
        <w:t>Si l’autorité a le devoir d’attirer l’attention des parties sur l’existence d’un vice formel immédiatement reconnaissable affectant une déclaration de recours,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précité consid. 2.4.3 ; TF 6B_51/2015 précité).</w:t>
      </w:r>
    </w:p>
    <w:p>
      <w:r>
        <w:rPr>
          <w:b/>
        </w:rPr>
        <w:t>E. 2.2.1</w:t>
      </w:r>
    </w:p>
    <w:p>
      <w:r>
        <w:t>En l’espèce, si le recours comporte un texte confirmant, au nom d’A.________, les conclusions prises dans cet acte, suivi de la mention manuscrite « [...] » et d’une empreinte digitale, il n’est pas muni de la signature manuscrite de la partie visée par l’ordonnance pénale et qui prétend avoir fait opposition à celle-ci, mais seulement de celle de Me R.________. En outre, s’il figure au dossier des procurations conférées à Me R.________, celles-ci comportent pour l’une la mention manuscrite « [...] » et pour l’autre la même mention ainsi qu’une empreinte digitale, qui ne permettent toutefois pas d’identifier le prévenu. Et pour cause, puisque, pour qu’une signature en bonne et due forme figure au dossier, il aurait fallu que la personne en cause dévoile son identité et qu’elle appose sa signature sur une procuration, ce qui aurait permis à la direction de la procédure de vérifier, au moyen des papiers d’identité de cette personne, qu’il s’agissait bien de sa signature. Or, la partie visée par l’ordonnance pénale refuse précisément de dévoiler son identité et de fournir ses papiers d’identité. Au vu de ce qui précède, il faut en conclure que le recours n’est signé que par l’avocat R.________, et que celui-ci n’établit pas être au bénéfice d’un pouvoir de représentation conféré par la partie visée par l’ordonnance pénale, conforme à l’art. 129 al. 2 CPP. Dans la mesure où il ne s’agit pas d’une omission involontaire de l’avocat R.________, mais d’un choix délibéré, la Chambre de céans n’a pas l’obligation de lui impartir un délai pour que son prétendu mandant dévoile son identité, dépose une procuration signée en bonne et due forme, et produise une pièce d’identité propre à établir la correspondance de la signature apposée sur la procuration avec sa signature. Au reste, de tels délais ont déjà été impartis par le Tribunal de police, en vain. Au demeurant, la production par le prétendu recourant d’une photographie et d’un cheveu permettant une éventuelle comparaison ADN, telle que proposée à titre subsidiaire dans l’acte de recours, ne permettrait pas un autre constat, dès lors qu’elle ne saurait pallier l’absence de signature valable. En conclusion, le recours ne respecte pas la forme écrite exigée par l’art. 396 al. 1 CPP.</w:t>
      </w:r>
    </w:p>
    <w:p>
      <w:r>
        <w:rPr>
          <w:b/>
        </w:rPr>
        <w:t>E. 2.2.2</w:t>
      </w:r>
    </w:p>
    <w:p>
      <w:r>
        <w:t>Quant à l’argument selon lequel la partie visée par l’ordonnance pénale serait en droit d’utiliser un « alias » plutôt que de dévoiler son identité, il ne trouve appui sur aucune règle du Code de procédure pénale. Au demeurant, il convient de relever qu’un numéro d’inconnu ne constitue pas un « alias », autrement dit une identité au sens de l’art. 143 al. 1 let. a CPP (nom, prénom, année de naissance, lieu de naissance, pays d’origine, etc.) invoquée par la partie concernée et qui diffère de l’identité que l’autorité tient pour établie. En matière d’« alias », il y a en effet au moins deux identités en jeu, dont une revendiquée comme étant réelle par la partie, par opposition à d’autre(s) identité(s) que celle-ci a utilisée(s) et que l’autorité envisage de tenir pour vraie(s) (cf. par exemple : TF 6B_1263/2018 du 28 janvier 2019 consid. 1.3 et TF 6B_110/2013 du 28 mai 2013 consid. 2.3). Il s’ensuit qu’en l’occurrence, le prétendu client de l’avocat R.________, n’ayant fourni aucune identité, ne peut pas se prévaloir d’un « alias » mais tout au plus d’un numéro d’inconnu n’ayant aucune portée juridique. Quant au principe de non-incrimination consacré à l’art. 14 ch. 3 let. g Pacte ONU II (Pacte international relatif aux droits civils et politiques du 16 décembre 1966 ; RS 0.103.2), qui fait partie des normes internationales généralement reconnues qui se trouvent au cœur de la notion de procès équitable selon l'art. 6 § 1 CEDH (Convention de sauvegarde des droits de l’homme et des libertés fondamentales du 4 novembre 1950 ; RS 0.101) (ATF 144 I 242 consid. 1.2.1 ; ATF 142 IV 207 consid. 8.3 ; ATF 138 IV 47 consid. 2.6.1 ; TF 6B_48/2020 du 26 mai 2020 consid. 5.1 ; TF 6B_1297/2017 du 26 juillet 2018 consid. 3.1), et qui a été introduit en procédure pénale à l’art. 113 al. 1 CPP, il n’est pas absolu (cf. ATF 147 I 57 consid. 5.1), et ne comprend en particulier pas le droit de refuser de se légitimer et, plus généralement, de ne pas collaborer à l’établissement de son identité (TF 6B_1297/2017 précité consid. 3.3 à 3.5 et les références citées ; TF 6B_1174/2017 du 7 mars 2018 consid. 6, en référence à TF 6B_115/2008 du 4 septembre 2008 consid. 4.3.3, non publié in ATF 135 IV 37, en lien avec l'art. 286 CP). Il s’ensuit qu’en l’occurrence, le prétendu client de l’avocat R.________ ne saurait se prévaloir de son droit au silence pour refuser de révéler son identité et de signer une procuration en bonne et due forme en faveur de son éventuel conseil de choix.</w:t>
      </w:r>
    </w:p>
    <w:p>
      <w:r>
        <w:rPr>
          <w:b/>
        </w:rPr>
        <w:t>E. 2.3</w:t>
      </w:r>
    </w:p>
    <w:p>
      <w:r>
        <w:t>Au vu de ce qui précède, déposé par un représentant sans pouvoir, le recours est irrecevable. Vu l’irrecevabilité du recours, la Chambre de céans ne peut pas entrer en matière sur les moyens développés, et en particulier sur les conclusions en constatation de la nullité de l’ordonnance pénale ; il y a en effet lieu de relever que compte tenu du motif d’irrecevabilité retenu, la Chambre de céans ne peut pas, à l’instar du Tribunal de police, vérifier que le recourant – prétendu inconnu en cause – a bien un intérêt juridiquement protégé à ce constat.</w:t>
      </w:r>
    </w:p>
    <w:p>
      <w:r>
        <w:rPr>
          <w:b/>
        </w:rPr>
        <w:t>E. 3</w:t>
      </w:r>
    </w:p>
    <w:p>
      <w:r>
        <w:t>En définitive, le recours doit être déclaré irrecevable, sans échange d’écritures (art. 390 al. 2 CPP). Les frais de la procédure de recours, constitués en l’espèce du seul émolument d’arrêt (art. 422 al. 1 CPP), par 1’320 fr. (art. 20 al. 1 TFIP [tarif des frais de procédure et indemnités en matière pénale du 28 septembre 2010 ; BLV 312.03.1]), seront mis à la charge de l’avocat R.________ qui, en tant que « falsus procurator », les a occasionnés (art. 417 et 428 al. 1 in fine CPP ; ATF 129 IV 206 consid. 2 ; TF 6B_1247/2020 du 7 octobre 2021 consid. 4 destiné à la publication, et les références citées ; TF 1B_371/2015 du 19 janvier 2016 ; TF 4F_15/2008 du 20 novembre 2013 consid. 2.3.3 ; TF 4C_392/2006 du 27 février 2007 consid. 6 ; CREP 27 septembre 2021/914 ; CREP 4 avril 2019/275 ; Griesser, in : Donatsch et al., op. cit., n. 4 ad art. 417 CPP et les références citées ; en matière de procédure civile, cf. ATF 141 III 426 consid. 2.4.3 et TF 4A_91/2015 du 22 septembre 2015 consid. 8.4 ; en matière de procédure administrative, cf. TF 8C_176/2020 du 9 avril 2021 consid. 3.2.1 et les références citées). Vu le sort du recours, aucune indemnité ne sera allouée à la personne prétendument représentée par l’avocat R.________ pour les dépenses occasionnées par la procédure. Par ces motifs, la Chambre des recours pénale prononce : I. Le recours est irrecevable. II. Les frais d’arrêt, par 1’320 fr. (mille trois cent vingt francs), sont mis à la charge de Me R.________. III. L’arrêt est exécutoire. Le président :               La greffière : Du Le présent arrêt, dont la rédaction a été approuvée à huis clos, est notifié, par l'envoi d'une copie complète, à : - Me R.________, avocat, - Ministère public central, et communiqué à : ‑ M. le Président du Tribunal de police de l’arrondissement de La Côte,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