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191 vom 11. März 2022</w:t>
      </w:r>
    </w:p>
    <w:p>
      <w:r>
        <w:t>VD Tribunal cantonal, 2022-03-11, FR</w:t>
      </w:r>
    </w:p>
    <w:p>
      <w:r>
        <w:rPr>
          <w:b/>
        </w:rPr>
        <w:t xml:space="preserve">Quelle: </w:t>
      </w:r>
      <w:r>
        <w:t>https://mcp.opencaselaw.ch/entscheid/vd_findinfo_D_cision___2022___191</w:t>
      </w:r>
    </w:p>
    <w:p>
      <w:r>
        <w:t>FR: VD_FINDINFO Décision / 2022 / 191 du 11 mars 2022</w:t>
      </w:r>
    </w:p>
    <w:p>
      <w:r>
        <w:t>IT: VD_FINDINFO Décision / 2022 / 191 del 11 marzo 2022</w:t>
      </w:r>
    </w:p>
    <w:p>
      <w:pPr>
        <w:pStyle w:val="Heading2"/>
      </w:pPr>
      <w:r>
        <w:t>Regeste</w:t>
      </w:r>
    </w:p>
    <w:p>
      <w:r>
        <w:t>DÉFENSE D'OFFICE, REMPLACEMENT | 134 al. 2 CPP (CH)</w:t>
      </w:r>
    </w:p>
    <w:p>
      <w:pPr>
        <w:pStyle w:val="Heading2"/>
      </w:pPr>
      <w:r>
        <w:t>Erwägungen</w:t>
      </w:r>
    </w:p>
    <w:p>
      <w:r>
        <w:rPr>
          <w:b/>
        </w:rPr>
        <w:t>E. 21</w:t>
      </w:r>
    </w:p>
    <w:p>
      <w:r>
        <w:t>février 2022, P.________ a déposé auprès du Tribunal d’arrondissement de Lausanne une plainte pénale contre Me B.________ (P. 460), « pour la conduite de son mandat d’office [le] concernant » et a requis que la procédure pénale à son encontre soit suspendue jusqu’à droit connu sur le sort de cette plainte, « si tant est que [Me B.________ n’ait] pas été remplacé dans l’intervalle ». Le prévenu soutient que son défenseur l’aurait trompé en ne lui envoyant pas une copie de la lettre qu’il avait adressée le 10 février 2022 au Président du Tribunal d’arrondissement contrairement à ce que ce courrier indiquait, mais seulement dans un courrier électronique quelques jours plus tard. En outre, alors qu’il lui avait jusque-là toujours fait parvenir ses courriers par voie électronique, il lui aurait adressé un écrit le 15 février 2022 à une adresse postale qui n’était plus valable. L’excuse de Me B.________ selon laquelle il s’agirait d’une erreur de son apprentie serait invraisemblable. P.________ en déduit que Me B.________ sélectionnerait les pièces qu’il lui ferait parvenir et le tromperait « notamment par ses écrits ». Selon lui, son défenseur d'office se serait ainsi rendu coupable de faux dans les titres et de gestion déloyale. C. Par acte du 27 février 2022, P.________ a recouru contre le prononcé rendu le 14 février 2022 par le Président du Tribunal correctionnel de l’arrondissement de Lausanne en concluant, avec suite de frais et dépens, à son annulation et à l’admission de sa requête tendant à ce que Me B.________ soit relevé de sa mission de défenseur d'office et remplacé par Me R.________. Il a également requis la consultation du dossier au greffe, la fixation d’un délai pour développer des moyens complémentaires après cette consultation, l’établissement d’un « exemplaire intégral "papier" » du dossier à son intention ainsi que la production au dossier de toutes les décisions rendues par la Chambre des recours pénale depuis le 1 er janvier 2018 concernant la révocation ou le remplacement d’un avocat d’office. Il n’a pas été ordonné d’échange d’écritures. En droit : 1. 1.1 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n. 1969). Il s'agit en particulier de toutes les décisions qu'exigent l'avancement et le déroulement de la procédure avant ou pendant les débats (ATF 138 IV 193 consid. 4.3.1 ; CREP 20 mars 2017/177 consid. 1.1 ; JdT 2016 III 63). Selon la jurisprudence, ces décisions peuvent toutefois faire l’objet d’un recours selon le CPP lorsqu’elles sont susceptibles de causer un préjudice irréparable (ATF 140 IV 202 consid. 2.1 in fine , SJ 2015 I 73 ; CREP 20 mars 2017/177 consid. 1.1 ; JdT 2016 III 63). Constitue un préjudice irréparable un dommage de nature juridique qui ne puisse pas être réparé ultérieurement par un jugement final ou une autre décision favorable au recourant (TF 6B_805/2014 du 20 octobre 2014 ; ATF 137 IV 172 consid. 2.1 ; CREP 31 juillet 2015/513 consid. 2.1 ; CREP 9 juin 2015/383 consid. 1.1).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(ATF 139 IV 113 consid. 1.1 ; ATF 133 IV 335 consid. 4 ; TF 1B_166/2020 du 25 juin 2020 consid. 1.3).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(ATF 135 I 261 consid. 1.2 ; TF 1B_166/2020 précité consid. 1.3) ou encore lorsque l'autorité refuse arbitrairement de tenir compte des vœux émis par la partie assistée (ATF 139 IV 113 consid. 1.2 ; TF 1B_166/2020 précité consid. 1.3).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faute d’avis de réception notifié valablement à P.________ au dossier, il y a lieu de considérer que celui-ci a interjeté recours en temps utile. Cela étant, le prononcé attaqué constitue une décision relative à la bonne marche de la procédure, qui ne peut faire l’objet d’un recours immédiat au sens des art. 393 ss CPP que si elle est de nature à causer à l’intéressé un préjudice irréparable. Or, selon la jurisprudence précitée,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En l’occurrence, le recourant ne se prononce pas précisément sur l'existence d'un préjudice irréparable, comme il lui appartenait de le faire. Quoi qu’il en soit, la question de savoir si un tel préjudice est manifeste peut cependant demeurer indécise dès lors que le recours doit de toute manière être rejeté pour les motifs suivants. 2. 2.1 Le recourant requiert que Me B.________ soit relevé de sa mission de défenseur d'office et remplacé par Me R.________. Il revient en premier lieu sur les circonstances de la révocation du mandat d’office de Me C.________ et relève que la Chambre des avocats vaudois n’a pas sanctionné celui-ci, ayant constaté qu’il n’avait pas violé les art. 12 let. a et b LLCA (Loi fédérale sur la libre circulation des avocats du 23 juin 2000 ; RS 935.61). Selon le recourant, la révocation de son ancien défenseur d’office serait ainsi abusive. Il ajoute que son avocat actuel ne traiterait pas le dossier avec soin et « curiosité » ; il ne prêterait aucune attention à ses besoins et lui nuirait en adressant à la direction de la procédure des courriers « qu’il sait lui être interdits par le soussigné » ; tout récemment, Me B.________ aurait procédé à la rétention de documents, « peut-être même à leur soustraction » et aurait faussement affirmé à l’autorité de jugement avoir remis au recourant des copies de ses propres courriers, ce qui aurait conduit P.________ à déposer une plainte pénale à son égard. Le recourant allègue ensuite que la Chambre de céans ne serait jamais « intervenue » malgré ses nombreuses sollicitations. Estimant qu’il n’en irait pas autrement cette fois, il a indiqué qu’il se contenterait d’exposer de manière succincte, « voire lapidaire » ses griefs. Ainsi, s’agissant de Me B.________ en particulier, le recourant soutient qu’il aurait manqué « par le passé à ses devoirs, pour le motif que la Chambre des recours pénale a déjà eu à connaître de cette situation », que la mission de cet avocat consisterait « à prendre le contre-pied de ce qui a été accompli par l’avocat C.________, pour ne pas entraver la marche unilatérale de l’enquête » et que le fait que Me B.________ n’ait proposé aucune réquisition en vue des débats en serait la preuve. Le recourant se prévaut ensuite du fait que la Fondation S.________ aurait retiré sa constitution de partie plaignante contre son co-prévenu, M.________. Enfin, contestant le bien-fondé des précédentes décisions rendues par la Chambre de céans refusant de révoquer le mandat de Me B.________, le recourant invoque la jurisprudence de la Cour européenne des droits de l’homme relative à l’art. 6 CEDH (Convention de sauvegarde des droits de l’homme et des libertés fondamentales du 4 novembre 1950 ; RS 0.101) et se plaint d’arbitraire en évoquant qu’un justiciable dans une autre affaire a pu changer quatre fois de défenseur d'office.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Lorsque l'avocat présente des carences manifestes, l'autorité pénale doit – en principe à titre d' ultima ratio et après avoir rappelé l'intéressé à ses obligations – procéder à un changement d'avocat d'office.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 5 al. 2 CPP ; TF 1B_166/2020 du 25 juin 2020 consid. 3.1.2 ; TF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1B_166/2020 précité consid. 3.1.2 ; TF 1B_285/2019 du 27 juin 2019 consid. 4). 2.3 En l’espèce, le recourant, qui persiste à soutenir que sa défense ne serait pas efficace, n’invoque aucun moyen objectif nouveau permettant de considérer que Me B.________ se serait comporté de manière préjudiciable à ses intérêts. D’une part, le recourant ne précise pas les manquements que Me B.________ aurait commis « par le passé », mais surtout, comme il le relève lui-même, il s’est déjà prévalu de ceux-ci devant la Chambre de céans qui n’a, par trois fois, constaté aucune violation des obligations professionnelles de Me B.________ (CREP 1 er février 2019/54 ; CREP 12 juin 2019/481 ; CREP 17 avril 2020/283). Elle a en particulier considéré que rien ne permettait objectivement de douter de sa connaissance du dossier (CREP 17 avril 2020/283 consid. 3.2). Elle a également déjà rejeté l’argument du recourant fondé sur le fait que la Fondation S.________ aurait retiré sa constitution de partie plaignante contre son co-prévenu, tout comme l’argument tiré du fait qu’un justiciable a pu changer quatre fois de défenseur dans une autre affaire (CREP 17 avril 2020/283 consid. 3.3 et 3.5). D’autre part, le recourant n’établit pas que Me B.________ aurait adressé à la direction de la procédure des courriers « qu’il sait lui être interdits » ou qu’il ait procédé à la « rétention » voire à la « soustraction » de pièces au dossier. De même, le fait que Me B.________ n’ait formulé aucune réquisition en vue des débats ne constitue aucunement la preuve d’une « gestion courtisane et déloyale » de son mandat. Quant à la plainte pénale déposée par le recourant à l’encontre de Me B.________, force est de constater qu’elle a été déposée à peine un mois avant les débats, alors que la date de ceux-ci était connue, et que les reproches figurant dans cette plainte, soit le fait de ne pas lui avoir adressé une copie de sa lettre du 10 février 2022 le jour-même et de lui avoir adressé un courrier à une mauvaise adresse postale, ne revêtent aucun caractère pénal et ne constituent pas davantage des éléments propres à justifier de relever Me B.________ de son mandat. Manifestement, au vu du contenu de cette plainte et de son dépôt à une date si rapprochée des débats, cette plainte constitue une manœuvre purement dilatoire destinée à obtenir, entre autres, le renvoi de l’audience de jugement. Enfin, le recourant requiert une nouvelle fois que toutes les décisions rendues par la Cour de céans depuis le 1 er janvier 2018 en matière de révocation ou de remplacement d’un avocat d’office soient versées au dossier. La Chambre de céans a déjà rejeté cette requête dans son arrêt du 17 avril 2020. Comme elle l’a indiqué, le recourant a la possibilité de consulter sa jurisprudence sur le site Internet du Tribunal cantonal (CREP 17 avril 2020/283 consid. 3.5). S’agissant de l’établissement d’un « exemplaire » du dossier, le recourant est libre d’en prélever une copie ; il n’appartient pas à l’autorité de céans de lui en fournir une. Quant à la conclusion tendant à l’octroi d’un délai pour développer des moyens complémentaires après avoir consulté le dossier, elle est irrecevable : la motivation d’un acte de recours doit être entièrement contenue dans l’acte de recours lui-même et ne saurait être complétée ou corrigée ultérieurement (Moreillon/Parein-Reymond, Petit commentaire, Code de procédure pénale, 2 e éd., Bâle 2016, n. 6a ad art. 385 CPP). Enfin, P.________ pourra consulter le dossier au Tribunal de l’arrondissement de Lausanne à qui il est immédiatement renvoyé compte tenu de la proximité des débats. 3. Il résulte de ce qui précède que le recours, manifestement mal fondé, doit être rejeté, dans la mesure de sa recevabilité, sans échange d’écritures (art. 390 al. 2 CPP), et le prononcé attaqué confirmé.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14 février 2022 est confirmé. III. Les frais d’arrêt, par 1’100 fr. (mille cent francs), sont mis à la charge du recourant. IV. L’arrêt est exécutoire. La présidente :               La greffière : Du Le présent arrêt, dont la rédaction a été approuvée à huis clos, est notifié, par l'envoi d'une copie complète, à : - M. P.________, - Ministère public central, et communiqué à : ‑ M. le Président du Tribunal correctionnel de l’arrondissement de Lausanne, ‑ M. le Procureur du Ministère public central, division criminalité économique, - Me B.________, avocat (pour P.________), - Me Pascal de Preux, avocat (pour la Fondation S.________), - Me Christian Dénériaz, avocat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