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157 vom 1. März 2022</w:t>
      </w:r>
    </w:p>
    <w:p>
      <w:r>
        <w:t>VD Tribunal cantonal, 2022-03-01, FR</w:t>
      </w:r>
    </w:p>
    <w:p>
      <w:r>
        <w:rPr>
          <w:b/>
        </w:rPr>
        <w:t xml:space="preserve">Quelle: </w:t>
      </w:r>
      <w:r>
        <w:t>https://mcp.opencaselaw.ch/entscheid/vd_findinfo_D_cision___2022___157</w:t>
      </w:r>
    </w:p>
    <w:p>
      <w:r>
        <w:t>FR: VD_FINDINFO Décision / 2022 / 157 du 1 mars 2022</w:t>
      </w:r>
    </w:p>
    <w:p>
      <w:r>
        <w:t>IT: VD_FINDINFO Décision / 2022 / 157 del 1 marzo 2022</w:t>
      </w:r>
    </w:p>
    <w:p>
      <w:pPr>
        <w:pStyle w:val="Heading2"/>
      </w:pPr>
      <w:r>
        <w:t>Regeste</w:t>
      </w:r>
    </w:p>
    <w:p>
      <w:r>
        <w:t>PROPORTIONNALITÉ, RISQUE DE COLLUSION, RISQUE DE FUITE, MESURE DE SUBSTITUTION À LA DÉTENTION, DÉTENTION PROVISOIRE, PROLONGATION | 212 al. 3 CPP (CH), 221 al. 1 let. a CPP (CH), 221 al. 1 let. b CPP (CH), 227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Z.________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A l’expiration de la durée de la détention provisoire fixée par le Tribunal des mesures de contrainte, le Ministère public peut demander la prolongation de la détention (art. 227 al. 1 CPP).</w:t>
      </w:r>
    </w:p>
    <w:p>
      <w:r>
        <w:rPr>
          <w:b/>
        </w:rPr>
        <w:t>E. 3.1</w:t>
      </w:r>
    </w:p>
    <w:p>
      <w:r>
        <w:t>Le recourant conteste tout d'abord l'existence de soupçons suffisants à son encontre. Il relève que, lors de sa première audition, G.________ a déclaré qu'il n'était pas présent lors de la bagarre puis que, pour une raison inconnue, il est revenu sur ses déclarations lors de sa deuxième audition. Le prévenu en déduit que la mise en cause résultant du changement de version de G.________ n'est pas crédible. Il ajoute qu'il ressort des déclarations d'[...] qu'elle a surtout vu deux hommes être au corps à corps, que l'un d'eux était celui qui s'est retrouvé dans le garage, qu'elle ne savait pas ce que faisaient les autres hommes car « ça bougeait dans tous les sens » et qu'elle n'avait pas vu de couteau ni de coups de poing ou de pied. Le recourant précise également qu'alors même qu'elle se trouvait dans la bagarre, la témoin [...] n'a pas été en mesure de confirmer avec certitude qu'il était impliqué dans celle-ci. Il mentionne encore que, selon les déclarations de [...], « il y avait aussi un gars à la casquette (soit lui) mais je crois qu'il n'a rien fait ». Le prévenu indique enfin que, selon un dénommé [...], Q.________ aurait aussi donné des coups de couteau et qu'à cet égard, [...] a déclaré qu'il avait vu le mineur jeter un couteau dans la poubelle. Il en conclut qu'il ressort des éléments au dossier qu'il était présent lors des faits mais que rien ne permet de dire qu'il aurait participé à la bagarre ni qu'il aurait donné des coups lors de celle-ci.</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3.3</w:t>
      </w:r>
    </w:p>
    <w:p>
      <w:r>
        <w:t>En l'espèce, il y a tout d'abord lieu de rappeler que, dans le cadre de la procédure liée à la détention, l'examen des soupçons se fait à l'aune de la vraisemblance de la commission d'une infraction. Ensuite, on relèvera qu'hormis les paragraphes 9 et 12 à 15 de la partie « absence de soupçons suffisants », le recours correspond en tous points aux déterminations déposées par la défense précédemment à la décision du Tribunal des mesures de contrainte du 21 novembre 2021. Ces moyens ont donc déjà été analysés puis rejetés par le Tribunal des mesures de contrainte à deux reprises et rien ne vient remettre en cause ses décisions. Au demeurant, les ajouts de la défense n'apportent aucun élément convaincant qui permettrait de disculper le prévenu. Comme l'a retenu à juste titre le Tribunal des mesures de contrainte dans ses deux ordonnances, suffisamment d'indices ressortent du dossier pour que des soupçons suffisants puissent être retenus à l'encontre du prévenu. En effet, ce dernier a été mis en cause par son coprévenu G.________ ainsi que par [...]. Or, le fait que le premier nommé ait fluctué dans ses versions n'est pas suffisant, à ce stade de l'instruction, pour considérer qu'elles ne sont pas crédibles. Ensuite, le second précité ne paraît pas avoir de raison de mentir et, lors de sa deuxième audition, il a clairement mis en cause le recourant pour avoir donné le couteau à G.________. En ce qui concerne ses déclarations lors de sa première audition, il y a lieu de rappeler qu'il n'en était pas certain et que les conditions dans lesquelles il a observé la scène étaient compliquées. S'agissant des témoignages d'[...] et de [...], ils n'apportent aucun élément concret à décharge du recourant. Au demeurant, [...] n'a même pas vu qu'il y avait un couteau. Pour ce qui est de [...], le fait qu'elle n'ait pas été en mesure de confirmer avec certitude que le prévenu était impliqué dans la bagarre, ne signifie pas pour autant que tel n'était pas le cas ; d'autant plus que, dans la mesure où elle a pris part à l'altercation, elle était focalisée sur ce qu'il se passait autour d'elle et que cela l'empêchait certainement d'avoir une bonne vue d'ensemble des faits. Au contraire, l'audition de [...] semble corroborer l'implication du prévenu dans la bagarre. Enfin, le fait que Q.________ ait lui aussi donné des coups de couteau ne permet pas pour autant d'en déduire que Z.________ n'a pas pris part à la bagarre. Par ailleurs, concernant les coups de couteau que Q.________ aurait donnés, il ne s'agit, en l'état, que de simples ouï-dire, qui ne sont pas encore prouvés. Pour tous ces motifs, les soupçons retenus à l'égard du prévenu sont suffisants pour justifier sa détention provisoire.</w:t>
      </w:r>
    </w:p>
    <w:p>
      <w:r>
        <w:rPr>
          <w:b/>
        </w:rPr>
        <w:t>E. 4.1</w:t>
      </w:r>
    </w:p>
    <w:p>
      <w:r>
        <w:t>Le recourant fait ensuite grief au Tribunal des mesures de contrainte d'avoir retenu l'existence d'un risque de fuite. Il rappelle à ce propos que les faits remontent au 17 novembre 2021, qu'il a pu être appréhendé par la police à [...] le 19 novembre 2021 et qu'il s'est déplacé volontairement avec elle au poste pour y être entendu. Il n'a donc pas tenté de fuir après les faits et a collaboré.</w:t>
      </w:r>
    </w:p>
    <w:p>
      <w:r>
        <w:rPr>
          <w:b/>
        </w:rPr>
        <w:t>E. 4.2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143 IV 160 consid. 4.3, JdT 2018 IV 3; TF 1B_124/2021 du 12 avril 2021 consid. 5; TF 1B_549/2020 du 9 novembre 2020 consid. 3.1). Le risque de fuite s'étend également au risque de se soustraire à la procédure pénale ou à la sanction prévisible en tombant dans la clandestinité à l'intérieur du pays (ATF 143 IV 160 consid. 4.3; TF 1B_549/2020 du 9 novembre 2020).</w:t>
      </w:r>
    </w:p>
    <w:p>
      <w:r>
        <w:rPr>
          <w:b/>
        </w:rPr>
        <w:t>E. 4.3</w:t>
      </w:r>
    </w:p>
    <w:p>
      <w:r>
        <w:t>En l'espèce, à l'instar du Tribunal des mesures de contrainte, il sera retenu que le prévenu est un ressortissant [...] qui n'a aucun statut ni aucune attache avec la Suisse, contrairement à [...] et à [...], pays dans lesquels il a de la famille. Il ressort en outre du dossier qu'il fait l'objet d'une interdiction d'entrée en Suisse qui lui a été notifiée le 9 novembre 2021 ; de plus, il a fait l'objet de dix condamnations en France entre avril 2018 et avril 2021, notamment pour vols en réunion, menace de mort réitérée, recels de biens, escroquerie, outrage à une personne dépositaire de l'autorité publique et menace de crime ou délit contre les personnes. S'il est vrai qu'il a pu être interpellé et qu'il a suivi la police à ce moment-là, il y a lieu de rappeler que cela s'est produit avant ses mises en prévention et en détention. Par conséquent, il n'est pas certain que la situation se déroulerait de la même manière maintenant qu'il a connaissance de la procédure et des faits qui lui sont reprochés. De plus, étant donné que le recourant s'expose à une expulsion du territoire suisse, il est fort probable qu'en cas de libération, il disparaisse ou entre dans la clandestinité. Dès lors, le risque de fuite est clairement concret.</w:t>
      </w:r>
    </w:p>
    <w:p>
      <w:r>
        <w:rPr>
          <w:b/>
        </w:rPr>
        <w:t>E. 5.1</w:t>
      </w:r>
    </w:p>
    <w:p>
      <w:r>
        <w:t>Le recourant conteste également que le risque de collusion soit présent. Il relève que, dans sa demande, le Ministère public n'a pas mentionné précisément les mesures d'instruction qui doivent encore être menées et qui permettraient de renforcer les soupçons à son égard, ni dans quelle mesure il pourrait les influencer en cas de libération. Il indique aussi que tous les témoins présents à [...] le 17 novembre 2021 ont déjà été entendus. Enfin, en ce qui concerne la femme aux cheveux noirs âgée de 35-38 ans qui aurait vu une partie des faits et dont l'audition doit encore avoir lieu après que son identité aura été établie, il mentionne ne pas pouvoir l'influencer, dans la mesure où il ignore tout d'elle ainsi que son identité. Il en conclut que le risque de collusion n'est ni concret ni sérieux et qu'il ne justifie donc pas la prolongation de sa détention provisoire.</w:t>
      </w:r>
    </w:p>
    <w:p>
      <w:r>
        <w:rPr>
          <w:b/>
        </w:rPr>
        <w:t>E. 5.2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(Jeanneret et al. [édit.], Commentaire romand, Code de procédure pénale suisse, 2 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 ATF 132 I 21 consid. 3.2 ; TF 1B_339/2019 du 26 juillet 2019 consid. 3.1). En tout état de cause, plus l'instruction, respectivement la procédure pénale, se trouve à un stade avancé et les faits sont établis avec précision, plus les exigences relatives à la preuve de l'existence d'un risque - concret - de collusion sont élevées (ATF 137 IV 122 consid. 4.2 ; ATF 132 I 21 consid. 3.2.2 ; TF 1B_50/2019 du 19 février 2019 consid. 2.4 ; TF 1B_383/2021 op. cit. consid. 3.1).</w:t>
      </w:r>
    </w:p>
    <w:p>
      <w:r>
        <w:rPr>
          <w:b/>
        </w:rPr>
        <w:t>E. 5.3</w:t>
      </w:r>
    </w:p>
    <w:p>
      <w:r>
        <w:t>En l'espèce, on relèvera tout d'abord que l'instruction est toujours en cours et qu'elle ne touche pas encore à sa fin. Ensuite, le procureur a indiqué que des auditions devaient encore être réalisées. Or, selon les nouveaux développements de l'enquête, la victime aurait reçu des coups de couteau de la part de deux individus différents. Cependant, en l'état, seul l'un d'entre eux a pu être identifié. Dans ce contexte, il est donc indispensable que le prévenu, qui conteste les faits, ne puisse pas contacter les autres personnes ayant pris part à l'altercation pour influencer leurs déclarations ou arranger leurs versions sur le déroulement des faits. Le risque de collusion est donc toujours concret.</w:t>
      </w:r>
    </w:p>
    <w:p>
      <w:r>
        <w:rPr>
          <w:b/>
        </w:rPr>
        <w:t>E. 6.1</w:t>
      </w:r>
    </w:p>
    <w:p>
      <w:r>
        <w:t>Le recourant ne propose aucune mesure de substitution en particulier mais il indique être prêt à se soumettre à toutes mesures qui seraient ordonnées.</w:t>
      </w:r>
    </w:p>
    <w:p>
      <w:r>
        <w:rPr>
          <w:b/>
        </w:rPr>
        <w:t>E. 6.2</w:t>
      </w:r>
    </w:p>
    <w:p>
      <w:r>
        <w:t>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w:t>
      </w:r>
    </w:p>
    <w:p>
      <w:r>
        <w:rPr>
          <w:b/>
        </w:rPr>
        <w:t>E. 6.3</w:t>
      </w:r>
    </w:p>
    <w:p>
      <w:r>
        <w:t>En l'espèce, aucune mesure de substitution ne serait à même de parer les risques retenus au vu de leur intensité. En effet, toutes celles qui pourraient être prises tant s'agissant du risque de fuite que du risque de collusion, telles que le port d'un bracelet électronique, le dépôt des documents d'identité, l'interdiction de contacts ou de périmètres, permettraient uniquement de constater a posteriori leur non-respect mais ne seraient pas aptes à faire échec à une tentative de fuite ou de prise de contact par exemple. Le respect de ces mesures serait ainsi exclusivement basé sur le bon vouloir du prévenu de les respecter. Or, au vu de sa situation et notamment de ses antécédents en France, aucune confiance ne saurait lui être faite à cet égard.</w:t>
      </w:r>
    </w:p>
    <w:p>
      <w:r>
        <w:rPr>
          <w:b/>
        </w:rPr>
        <w:t>E. 7.1</w:t>
      </w:r>
    </w:p>
    <w:p>
      <w:r>
        <w:t>Enfin, le recourant relève qu'une prolongation de la détention provisoire de trois mois n'est plus proportionnée et qu'au vu des mesures annoncées par le Parquet, elle devrait être limitée à un mois. Il indique à cet égard que la détention est une atteinte grave à la liberté personnelle et qu'elle ne saurait se justifier par le seul fait qu'il n'a pas de statut légal en Suisse.</w:t>
      </w:r>
    </w:p>
    <w:p>
      <w:r>
        <w:rPr>
          <w:b/>
        </w:rPr>
        <w:t>E. 7.2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w:t>
      </w:r>
    </w:p>
    <w:p>
      <w:r>
        <w:rPr>
          <w:b/>
        </w:rPr>
        <w:t>E. 7.3</w:t>
      </w:r>
    </w:p>
    <w:p>
      <w:r>
        <w:t>En l'espèce, le recourant est en détention provisoire depuis le 19 novembre 2021, soit il y a environ trois mois et demi. Une prolongation de trois mois aboutirait donc à une durée de la détention de six mois. Or, étant donné les infractions pour lesquelles le prévenu pourrait être condamné, à savoir notamment l'agression passible d'une peine privative de liberté de cinq ans au plus, la durée de la détention demeure proportionnée à la peine encourue. Elle l'est également au regard des mesures d'instruction qui doivent encore être mises en œuvre par le Ministère public.</w:t>
      </w:r>
    </w:p>
    <w:p>
      <w:r>
        <w:rPr>
          <w:b/>
        </w:rPr>
        <w:t>E. 8</w:t>
      </w:r>
    </w:p>
    <w:p>
      <w:r>
        <w:t>Au vu de ce qui précède, le recours, manifestement mal fondé, doit être rejeté sans échange d'écritures (art. 390 al. 2 CPP) et l'ordonnance entreprise confirmée. L’indemnité allouée au défenseur d’office de Z.________ sera fixée, en l'absence de liste d'opérations produite avec le recours (TPF BB.2019.183 du 7 novembre 2019), en tenant compte d’une activité nécessaire d'avocat estimée à 2 heures au tarif horaire de 180 fr. – notamment au vu de la similitude du recours avec de précédentes écritures – (art. 2 al. 1 let. a et 3 al. 2 RAJ [Règlement sur l'assistance judiciaire en matière civile du 7 décembre 2010 ; BLV 211.02.3] par renvoi de l'art. 26b TFIP [Tarif des frais de procédure et indemnités en matière pénale du 28 septembre 2010 ; BLV 312.03.1]), à 360 fr., auxquels s'ajoutent 2% de débours forfaitaires (art. 2 al. 1 let. a et 3bis RAJ, applicables par renvoi de l'art. 26b TFIP), par 7 fr. 20, et la TVA à 7,7%, par 28 fr. 25, soit à 396 fr. au total en chiffres arrondis. Les frais de la procédure de recours, constitués en l'espèce de l'émolument d'arrêt (art. 422 al. 1 CPP), par 1'430 fr. (art. 20 al. 1 TFIP), et des frais imputables à la défense d'office (art. 422 al. 1 et 2 let. a CPP), par 396 fr., seront mis à la charge de Z.________,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11 février 2022 est confirmée. III. L’indemnité allouée à Me Irina Brodard-Lopez, défenseur d’office de Z.________, est fixée à 396 fr. (trois cent nonante-six francs). IV. Les frais d'arrêt, par 1'430 fr. (mille quatre cent trente francs), ainsi que l'indemnité allouée au défenseur d'office du recourant, par 396 fr. (trois cent nonante-six francs), sont mis à la charge de Z.________. V. Le remboursement à l'Etat de l'indemnité allouée au chiffre III ci-dessus ne sera exigible que pour autant que la situation financière de Z.________ le permette. VI. L’arrêt est exécutoire. La présidente :               La greffière : Du Le présent arrêt, dont la rédaction a été approuvée à huis clos, est notifié, par l'envoi d'une copie complète, à : - Me Irina Brodard-Lopez, avocate (pour Z.________), - Ministère public central, et communiqué à : ‑ Monsieur le Président du Tribunal des mesures de contrainte, - Monsieur le Procureur de l'arrondissement de Lausanne, - M. P.________ (sans domicile connu, ne peut être avisé),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