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148 vom 24. Februar 2022</w:t>
      </w:r>
    </w:p>
    <w:p>
      <w:r>
        <w:t>VD Tribunal cantonal, 2022-02-24, FR</w:t>
      </w:r>
    </w:p>
    <w:p>
      <w:r>
        <w:rPr>
          <w:b/>
        </w:rPr>
        <w:t xml:space="preserve">Quelle: </w:t>
      </w:r>
      <w:r>
        <w:t>https://mcp.opencaselaw.ch/entscheid/vd_findinfo_D_cision___2022___148</w:t>
      </w:r>
    </w:p>
    <w:p>
      <w:r>
        <w:t>FR: VD_FINDINFO Décision / 2022 / 148 du 24 février 2022</w:t>
      </w:r>
    </w:p>
    <w:p>
      <w:r>
        <w:t>IT: VD_FINDINFO Décision / 2022 / 148 del 24 febbraio 2022</w:t>
      </w:r>
    </w:p>
    <w:p>
      <w:pPr>
        <w:pStyle w:val="Heading2"/>
      </w:pPr>
      <w:r>
        <w:t>Regeste</w:t>
      </w:r>
    </w:p>
    <w:p>
      <w:r>
        <w:t>FAUX MATÉRIEL DANS LES TITRES, USAGE DE FAUX{DROIT PÉNAL}, CLASSEMENT DE LA PROCÉDURE, IN DUBIO PRO DURIORE | 110 al. 4 CP, 251 CP,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2017 ; RS 312.0)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 Interjeté en temps utile devant l’autorité compétente, par les parties plaignantes qui ont qualité pour recourir (art. 382 al. 1 CPP) et dans les formes prescrites (art. 385 al. 1 CPP), le recours de S.________ et Z.________ est recevable.</w:t>
      </w:r>
    </w:p>
    <w:p>
      <w:r>
        <w:rPr>
          <w:b/>
        </w:rPr>
        <w:t>E. 2.1</w:t>
      </w:r>
    </w:p>
    <w:p>
      <w:r>
        <w:t>Les recourants font grief au Ministère public d'avoir fondé sa décision sur un état de fait incomplet et erroné ainsi que sur une appréciation insoutenable et, partant, arbitraire de celui-ci. Ils soutiennent que plusieurs éléments cruciaux, qu'ils ont pourtant allégués et prouvés, n'ont pas été retenu par le Parquet, qui a pris en considération exclusivement ceux à décharge du prévenu, et que certains faits sur lesquels la procureure a basé son raisonnement sont faux et contredits par plusieurs pièces au dossier. Ils relèvent en particulier qu'au vu des explications contradictoires données par X.________, qui a fourni trois versions différentes et successives dans la procédure civile pour expliquer la production du devis litigieux, il ne pouvait être retenu que la différence de documents résultait effectivement d'une erreur de secrétariat, ce qui correspond à la dernière explication du prévenu. Au contraire, ces divergences auraient dû amener le Ministère public à considérer que le prévenu avait essayé par tous les moyens d'introduire un titre faux dans la procédure civile pour pouvoir justifier l'obtention d'une hypothèque légale. Les recourants ajoutent qu'il est erroné d'affirmer que la différence entre les devis ne concernait que la marque de la chape puisqu'il est évident que ce changement a une réelle incidence sur le prix de la prestation, étant donné qu'il ne s'agissait pas de la même gamme de produit. Ils indiquent encore que, contrairement à ce que mentionne le Parquet, X.________ a tenté de maintenir pendant plusieurs mois le faux devis dans la procédure et ne l'a pas immédiatement retiré. Ils précisent qu'il ne s'est exécuté que lorsqu'ils l'ont menacé de saisir le Bâtonnier de l'Ordre des avocats. Selon les recourants, l'infraction de faux dans les titres serait réalisée, dans la mesure où le prévenu a intentionnellement falsifié le devis et en a fait usage dans une procédure civile pour obtenir l'inscription d'une hypothèque légale. Ils soutiennent qu'une condamnation ne paraissait pas invraisemblable en considération de l'ensemble des circonstances qu'ils avaient décrites, si bien que le Ministère public ne devait pas classer la procédure. Ils reprochent également à ce dernier de ne pas avoir examiné la question de l'escroquerie au procès qu'ils avaient soulevée. Ils indiquent à cet égard que les faits seraient aussi constitutifs de cette infraction, dès lors qu'une pièce falsifiée a été produite dans le cadre d'une procédure judiciaire dans le dessein de tromper le juge. Ils en concluent que, sur la base des éléments qu'ils avaient mentionnés, le Parquet ne pouvait pas soutenir qu'une condamnation paraissait exclue avec une vraisemblance confinant à la certitude et que partant il a violé la maxime « in dubio pro duriore » en rendant une ordonnance de classement.</w:t>
      </w:r>
    </w:p>
    <w:p>
      <w:r>
        <w:rPr>
          <w:b/>
        </w:rPr>
        <w:t>E. 2.2</w:t>
      </w:r>
    </w:p>
    <w:p>
      <w:r>
        <w:t>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6B_310/2020 du 17 juillet 2020 consid. 2.1 ; TF 6B_199/2020 du 9 avril 2020 consid. 3.1).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références citées). b) Aux termes de l'art. 251 al.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Les infractions du droit pénal relatives aux titres protègent la confiance qui, dans les relations juridiques, est placée dans un titre comme moyen de preuve. C'est pourquoi la loi considère comme titres les écrits destinés et propres à prouver un fait ayant une portée juridique et tous les signes destinés à prouver un tel fait (art. 110 ch. 4 CP). Le caractère de titre d'un écrit est relatif. Par certains aspects, il peut avoir ce caractère, par d'autres non. Un écrit constitue un titre en vertu de cette disposition s'il se rapporte à un fait ayant une portée juridique et s'il est destiné et propre à prouver le fait qui est faux. L'enregistrement sur des supports de données et sur des supports-images est assimilé à un écrit s'il a la même destination. La destination et l'aptitude à prouver un fait précis d'un document peut résulter directement de la loi, des usages commerciaux ou du sens et de la nature dudit document (TF 6B_55/2017 du 24 mars 2017 consid. 2.2; ATF 142 IV 119 consid. 2.2; ATF 138 IV 130 consid. 2.2.1). L'art. 251 CP vise non seulement le faux matériel, qui consiste dans la fabrication d'un titre faux ou la falsification d'un titre, mais également le faux intellectuel, c’est-à-dire un titre mensonger, soit la constatation d'un fait inexact, en ce sens que la déclaration contenue dans le titre ne correspond pas à la réalité (TF 6B_447/2014 du 30 octobre 2014). Il y a faux matériel lorsqu'une personne fabrique un titre dont l'auteur réel ne coïncide pas avec l'auteur apparent. Le faussaire crée un titre qui trompe sur l'identité de celui dont il émane en réalité (ATF 128 IV 265 consid. 1.1.1). Il est sans importance de savoir si le contenu d'un tel titre est mensonger ou non (ATF 123 IV 17 consid. 2e). Le faux intellectuel vise un titre qui émane de son auteur apparent, mais qui est mensonger dans la mesure où son contenu ne correspond pas à la réalité (ATF 123 IV 17 consid. 2b ; ATF 122 IV 332 consid. 2b et c). Pour que le mensonge soit punissable comme faux intellectuel, il faut que le document ait une valeur probante plus grande que dans l'hypothèse d'un faux matériel (ATF 121 IV 131 consid. 2c). On parle de « valeur probante accrue ». Il s'agit d'un délit de mise en danger abstraite, raison pour laquelle la disposition ne protège pas uniquement les personnes concrètement concernées par une infraction contre le patrimoine. En outre, il s'agit d'un délit formel. Aucun résultat particulier n'est ainsi exigé (Dupuis et alii, Petit commentaire du Code pénal, 2 e éd., Bâle 2017, n. 2 ad art. 251 CP et les références citées). Le faux dans les titres est une infraction intentionnelle. Le dol éventuel suffit. L'art. 251 CP exige en outre un dessein spécial, qui peut se présenter sous deux formes alternatives, à savoir le dessein de nuire ou le dessein d'obtenir un avantage illicite.</w:t>
      </w:r>
    </w:p>
    <w:p>
      <w:r>
        <w:rPr>
          <w:b/>
        </w:rPr>
        <w:t>E. 2.3</w:t>
      </w:r>
    </w:p>
    <w:p>
      <w:r>
        <w:t>En l’espèce, le devis litigieux du 25 octobre 2017, qui a été produit dans la procédure civile, reprend la dernière page de l'original signé par les parties plaignantes, à laquelle d'autres pages ont été ajoutées. Or, si le prix figurant sur la dernière page signée est le même, la description de la chape à la page 2 est différente. Dans le document original, elle était décrite comme étant de type Sika (P. 5/7), précision non mentionnée dans le document produit en procédure (P. 5/2). Par ailleurs, les recourants invoquent divers défauts relatifs à cette chape. S.________ et Z.________ font valoir que le devis entrepris est un titre, ce que le prévenu conteste, indiquant que sa production en justice n'y change rien. Sur la plan objectif, un devis contresigné par son destinataire constitue un contrat, document propre à prouver un fait ayant une portée juridique. Il s’agit donc bien d’un titre au sens de l’art. 110 ch. 4 CP. Dans le présent cas, on est en présence d’un faux matériel. En effet, le document litigieux a été constitué par la mise ensemble des pages de deux extraits de pièces différentes. Or, la signature du destinataire du devis ne figurait que sur le document original. En ajoutant la page avec signature aux premières pages du nouveau devis qui avait été modifié, que le destinataire n’avait pas signé, le prévenu semble avoir fabriqué un document dans lequel l’auteur réel ne coïncide pas avec l’auteur apparent. Peu importe que le montant du devis soit identique sur les deux versions, dès lors qu’il existe une différence, soit la référence au type de chape posée. Enfin, étant donné qu'il pourrait s'agir d'un faux matériel, il n'est pas nécessaire qu'il ait une valeur probante accrue. En outre, X.________ a fait usage de ce document dans la mesure où il l’a produit en procédure. Il indique à cet égard s'être uniquement basé sur ses factures, qui étaient cohérentes avec les travaux réalisés, pour requérir l'inscription de l'hypothèque légale et non sur le devis litigieux. Il ajoute que, sur le fond, le tribunal civil lui a donné raison, même après que le devis avait été retiré de la procédure et alors même que la chape posée était d'une marque différente. Cette pièce était donc, selon lui, sans importance. Le raisonnement ne peut être suivi. L'infraction de faux dans les titres étant un délit formel de mise en danger abstraite, il n'est pas nécessaire qu'il y ait eu un résultat en lien avec l'utilisation du titre. Dès lors, le fait que le prévenu ait modifié le titre et qu'il l'ait produit dans la procédure civile est suffisant pour que l'infraction puisse être réalisée. Il n'est pas nécessaire que le document ait eu un impact sur le sort de la cause. Sur le plan subjectif, selon la jurisprudence, l’avantage obtenu ne doit pas forcément être illicite en tant que tel. Ainsi, celui qui veut obtenir une prétention légitime ou éviter un inconvénient injustifié, au moyen d’un titre faux, est également punissable (Dupuis et alii, Petit commentaire du Code pénal, op. cit., n. 55 et 56 ad art. 251 CP). Il en va notamment ainsi de celui qui crée un titre faux pour compléter ou améliorer des preuves, ce qui semble être le cas en l'espèce. Pour tous ces motifs, sous réserve que la secrétaire de la société ait agi de son propre chef et à l'insu de X.________ (question qui devra être instruite par le Ministère public notamment par l’audition des membres du secrétariat), les indices de culpabilité de faux dans les titres sont suffisants à ce stade et, en application du principe « in dubio pro duriore », le Ministère public ne pouvait pas classer la procédure.</w:t>
      </w:r>
    </w:p>
    <w:p>
      <w:r>
        <w:rPr>
          <w:b/>
        </w:rPr>
        <w:t>E. 3</w:t>
      </w:r>
    </w:p>
    <w:p>
      <w:r>
        <w:t>Les recourants plaident aussi l’escroquerie au procès. Le prévenu quant à lui indique qu'il n'y a pas eu d'escroquerie vu que, dans la procédure au fond, qui a entrainé la caducité des mesures provisionnelles, le devis erroné n'a pas été pris en considération. Dans l'ordonnance entreprise, la procureure n’a absolument pas traité cette question, pourtant soulevée par les plaignants le 26 novembre 2020 (P. 14). On peut toutefois penser qu’elle a considéré que la question ne se posait plus, dès lors que le faux dans les titres n’avait pas été retenu. Il s’agit donc d’un classement implicite contre lequel le recours est recevable. Les conditions de cette infraction devront ainsi être examinées par le Ministère public si, après instruction complémentaire, le faux dans les titres devait être retenu. Les questions de la répartition des frais ainsi que de l'octroi ou non d'une indemnité au sens de l'art. 429 CPP à X.________ devront également être revues en temps voulu.</w:t>
      </w:r>
    </w:p>
    <w:p>
      <w:r>
        <w:rPr>
          <w:b/>
        </w:rPr>
        <w:t>E. 4</w:t>
      </w:r>
    </w:p>
    <w:p>
      <w:r>
        <w:t>Il résulte de ce qui précède que le recours doit être admis, l'ordonnance entreprise annulée et la cause renvoyée au Ministère public pour qu'il procède dans le sens indiqué ci-dessus, puis selon l'art. 318 CPP. Les recourants, qui ont procédé avec l’assistance d’un conseil de choix et ont obtenu gain de cause, ont droit à une indemnité pour les dépenses occasionnées par la procédure de recours (art. 433 al. 1 let. a et 436 al. 1 CPP). Toutefois, au vu des écritures produites et de l'absence de complexité particulière de la cause, le nombre d'heures annoncé, soit 28.5 heures est disproportionné. Il sera donc réduit à 7 heures pour l'entier des opérations (5 heures pour l'acte de recours et 2 heures pour les répliques spontanées). Par ailleurs, le dossier n'étant pas complexe ni hautement spécialisé, un tarif horaire de 300 fr. sera appliqué (art. 26a al. 3 TFIP). L'indemnité sera donc fixée à 2'100 fr., montant auquel il convient d’ajouter des débours forfaitaires à concurrence de 2 % des honoraires estimés (art. 19 al. 2 TDC [Tarif des dépens en matière civile du 23 novembre 2010 ; BLV 270.11.6], applicable par renvoi de l’art. 26a al. 6 TFIP), par 42 fr., plus la TVA au taux de 7,7 %, par 164 fr. 90, soit 2'307 fr. au total en chiffres arrondis. Vu le sort du recours, les frais de la procédure, constitués en l’espèce de l'émolument d'arrêt, par 1'210 fr. (art. 20 al. 1 TFIP [Tarif des frais de procédure et indemnités en matière pénale du 28 septembre 2010 ; BLV 312.03.1]) et de l'indemnité allouée au conseil des recourants, par 2'307 fr., seront mis à la charge de X.________, qui a conclu au rejet du recours et, partant, succombe (art. 428 al. 4 CPP). Par ces motifs, la Chambre des recours pénale prononce : I. Le recours est admis. II. L'ordonnance du 8 octobre 2021 est annulée. III. Le dossier de la cause est renvoyé au Ministère public de l'arrondissement de La Côte pour qu'il procède dans le sens des considérants. IV. Une indemnité de 2'307 fr. (deux mille trois cent sept francs) est allouée à S.________ et Z.________ pour les dépenses occasionnées par la procédure de recours, à la charge de X.________. V. Les frais d’arrêt, par 1'210 fr. (mille deux cent dix francs), sont mis à la charge de X.________. VI. L’arrêt est exécutoire. Le président :               La greffière : Du Le présent arrêt, dont la rédaction a été approuvée à huis clos, est notifié, par l'envoi d'une copie complète, à : - Me Andreas Fabjan, avocat (pour Z.________ et S.________), - Me François Membrez, avocat (pour X.________),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