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147 vom 17. Februar 2022</w:t>
      </w:r>
    </w:p>
    <w:p>
      <w:r>
        <w:t>VD Tribunal cantonal, 2022-02-17, FR</w:t>
      </w:r>
    </w:p>
    <w:p>
      <w:r>
        <w:rPr>
          <w:b/>
        </w:rPr>
        <w:t xml:space="preserve">Quelle: </w:t>
      </w:r>
      <w:r>
        <w:t>https://mcp.opencaselaw.ch/entscheid/vd_findinfo_D_cision___2022___147</w:t>
      </w:r>
    </w:p>
    <w:p>
      <w:r>
        <w:t>FR: VD_FINDINFO Décision / 2022 / 147 du 17 février 2022</w:t>
      </w:r>
    </w:p>
    <w:p>
      <w:r>
        <w:t>IT: VD_FINDINFO Décision / 2022 / 147 del 17 febbraio 2022</w:t>
      </w:r>
    </w:p>
    <w:p>
      <w:pPr>
        <w:pStyle w:val="Heading2"/>
      </w:pPr>
      <w:r>
        <w:t>Regeste</w:t>
      </w:r>
    </w:p>
    <w:p>
      <w:r>
        <w:t>CAS DE SÉQUESTRE, CONFISCATION{DROIT PÉNAL}, VÉHICULE | 69 al. 1 CP, 90a LCR, 263 al. 1 let. d CPP (CH)</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Une ordonnance de séquestre (art. 263 CPP) rendue par le ministère public dans le cadre de la procédure préliminaire, de même qu’une ordonnance de refus ou de refus partiel de levée de séquestre, est ainsi susceptible de recours selon les art. 393 ss CPP (Moreillon/ Parein-Reymond, Code de procédure pénale, Petit commentaire, 2 e éd., Bâle 2016, n. 24 ad art. 263 CPP ; Lembo/Nerushay, Commentaire romand, Code de procédure pénale suisse, 2 e éd., Bâle 2019, n. 4 ad art. 267 CPP). Le recours s'exerce par écrit dans les dix jours devant l'autorité de recours (art. 20 al. 1 let b et 396 al. 1 CPP).</w:t>
      </w:r>
    </w:p>
    <w:p>
      <w:r>
        <w:rPr>
          <w:b/>
        </w:rPr>
        <w:t>E. 1.2</w:t>
      </w:r>
    </w:p>
    <w:p>
      <w:r>
        <w:t>En l’espèce, le recours a été interjeté en temps utile par une partie qui a qualité pour recourir (art. 382 al. 1 CPP). En revanche, dès lors que le prévenu n’indique pas précisément les éléments de l’ordonnance qu’il conteste, on peut se demander si le recours satisfait aux exigences de motivation de l’art. 385 al. 1 CPP aux termes duquel la personne ou l’autorité qui recourt doit indiquer précisément les points de la décision qu’elle attaque (let. a), les motifs qui commandent une autre décision (let. b) et les moyens de preuve qu’elle invoque (let. c). Cette question peut toutefois demeurer ouverte dans la mesure où le recours doit de toute manière être rejeté pour les motifs qui suivent.</w:t>
      </w:r>
    </w:p>
    <w:p>
      <w:r>
        <w:rPr>
          <w:b/>
        </w:rPr>
        <w:t>E. 2.1</w:t>
      </w:r>
    </w:p>
    <w:p>
      <w:r>
        <w:t>Le recourant soutient qu’il a besoin de son véhicule pour la bonne marche de son exploitation en ce sens que ses parents peuvent l’employer en attendant que ses deux fils obtiennent leur permis agricole. Il s’engage par ailleurs à ne plus conduire « jusqu’à nouvel avis ».</w:t>
      </w:r>
    </w:p>
    <w:p>
      <w:r>
        <w:rPr>
          <w:b/>
        </w:rPr>
        <w:t>E. 2.2.1</w:t>
      </w:r>
    </w:p>
    <w:p>
      <w:r>
        <w:t>Aux termes de l'art. 263 al. 1 let. d CPP, des objets et des valeurs patrimoniales appartenant au prévenu ou à des tiers peuvent être mis sous séquestre lorsqu'il est probable qu'ils devront être confisqués. Comme cela ressort du texte de cette disposition, une telle mesure est fondée sur la vraisemblance ; elle porte sur des objets dont on peut admettre, prima facie, qu'ils pourront être confisqués en application du droit pénal fédéral. Tant que l'instruction n'est pas achevée, une simple probabilité suffit (ATF 140 IV 57 consid. 4.1.1). Par ailleurs, l'autorité doit pouvoir décider rapidement du séquestre provisoire (cf. art. 263 al. 2 CPP), ce qui exclut qu'elle résolve des questions juridiques complexes ou qu'elle attende d'être renseignée de manière exacte et complète sur les faits avant d'agir (ATF 140 IV 57 consid. 4.1.2). Le séquestre pénal ne peut donc être levé que dans l'hypothèse où il est d'emblée manifeste et indubitable que les conditions matérielles d'une confiscation ne sont pas réalisées, et ne pourront l'être (ATF 140 IV 133 consid. 4.2.1 ; ATF 139 IV 250 consid. 2.1). Le séquestre de type conservatoire – soit en vue d’une confiscation – (art. 263 al. 1 let. d CPP) consiste à placer sous mains de justice des biens en raison du danger qu'ils présentent pour la sécurité des personnes, la morale ou l'ordre public (art. 69 CP ou, en matière d’infractions routières, art. 90a LCR [loi fédérale sur la circulation routière du 19 décembre 1958 ; RS 731.01] ; TF 1B_252/2014 du 3 novembre 2014 consid. 2.4).</w:t>
      </w:r>
    </w:p>
    <w:p>
      <w:r>
        <w:rPr>
          <w:b/>
        </w:rPr>
        <w:t>E. 2.2.2</w:t>
      </w:r>
    </w:p>
    <w:p>
      <w:r>
        <w:t>Selon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137 IV 249 consid. 4.5.2, JdT 2012 IV 205). Par ailleurs, en vertu de l’art. 90a al. 1 LCR, le tribunal peut ordonner la confiscation d’un véhicule automobile aux conditions cumulatives suivantes : les règles de la circulation ont été violées gravement et sans scrupules (let. a) et cette mesure peut empêcher l’auteur de commettre d’autres violations graves des règles de la circulation (let. b). Les conditions de l’art. 90a al. 1 let. a LCR sont en principe remplies lorsqu’il existe un soupçon de violation grave et qualifiée des règles de la circulation au sens de l’art. 90 al. 3 et 4 LCR (ATF 140 IV 133 consid. 3.4, JdT 2014 I 329 et 2015 IV 22 ; ATF 139 IV 250 consid. 2.3.3, JdT 2014 IV 89 ; TF 1B_275/2013 du 28 octobre 2013 consid. 2.3.3 ; JdT 2015 III 104). Une éventuelle confiscation ne se limite toutefois pas aux cas de l’art. 90 al. 3 et</w:t>
      </w:r>
    </w:p>
    <w:p>
      <w:r>
        <w:rPr>
          <w:b/>
        </w:rPr>
        <w:t>E. 2.3</w:t>
      </w:r>
    </w:p>
    <w:p>
      <w:r>
        <w:t>En l’espèce, à ce stade de l’enquête, il s’agit uniquement d’examiner s’il est probable que le véhicule du recourant devra être confisqué. Cela est indéniablement le cas. En effet, entre 2013 et 2021, le recourant a été condamné neuf fois pour conduite d’un véhicule automobile sans être titulaire du permis de conduire requis et trois fois pour conduite d’un véhicule automobile malgré le refus, le retrait ou l’interdiction de l’usage du permis, sans compter les nombreuses autres infractions à la loi sur la circulation routière commises durant ce laps de temps. Dans le cas présent, le recourant a à nouveau circulé alors qu’il était sous le coup d’un retrait de permis de conduire et, au cours de son audition du 8 février 2022, il a admis qu’il conduisait quotidiennement pour entretenir son exploitation agricole. Ainsi, en tant qu’auteur d’infractions chroniques à la LCR depuis plus de huit ans, le recourant a gravement violé les règles de la circulation routière. On ne peut évidemment pas le croire lorsqu’il prétend qu’il ne conduira plus, puisque cela fait des années qu’il transgresse les interdictions de conduire et que même les sept condamnations à des peines pécuniaires, puis les quatre condamnations à des peines privatives de liberté n’ont eu aucun effet dissuasif. En l’état du dossier, on ne peut donc exclure que le recourant compromette à l'avenir la sécurité des personnes ou commette des violations graves de la circulation routière. En outre, même s’il est possible que le séquestre du véhicule ait des conséquences sur l’exploitation de son domaine agricole, le recourant ne peut s’en prendre qu’à lui-même d’avoir à nouveau violé la LCR et doit en assumer les conséquences. La confiscation du véhicule apparaît ainsi comme la seule mesure susceptible de retarder ou d’entraver la commission de nouvelles infractions. Au vu de ce qui précède, il n'apparaît pas d'emblée manifeste et indubitable que les conditions matérielles d'une confiscation ne sont pas réalisées. Par conséquent, c’est à bon droit que le Ministère public a rejeté la requête tendant à la levée du séquestre en vue d’une probable confiscation. 3. Il s’ensuit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10 février 2022 est confirmée. III. Les frais d’arrêt, par 770 fr. (sept cent septante francs), sont mis à la charge de X.________. IV. L’arrêt est exécutoire. La présidente : La greffière : Du Le présent arrêt, dont la rédaction a été approuvée à huis clos, est notifié, par l'envoi d'une copie complète, à : - M. X.________,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4</w:t>
      </w:r>
    </w:p>
    <w:p>
      <w:r>
        <w:t>LCR, mais entre également en considération en cas de violations graves (non qualifiées) des règles de la circulation routière au sens de l’art. 90 al. 2 LCR (ATF 140 IV 133 précité ; ATF 139 IV 250 précité ; CREP 18 septembre 2018/718 consid. 2.2).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précité ; ATF 139 IV 250 précité). Afin de poser ce pronostic, l’examen des antécédents de l’auteur peut servir d’appui à la réflexion du juge, la dangerosité devant être exclue lorsque l’infraction commise au moyen du véhicule apparaît comme un incident isolé dans l’histoire de l’auteur (JdT 2015 III 104 précité ; CREP 18 septembre 2018/718 précité ; CREP 11 mai 2018/246 consid. 2.2). Dans un cas comme dans l'autre, la loi pose comme condition à la confiscation – et par voie de conséquence au séquestre qui la précède – que le retrait du véhicule automobile empêche l'auteur respectivement de compromettre la sécurité des personnes (art. 69 al. 1 CP) et de commettre des violations graves des règles de la circulation routière (art. 90a al. 1 let. b LCR) (TF 1B_252/2014 du 3 novembre 2014 consid. 2.4 ; Dupuis et alii, Petit commentaire du Code pénal, 2 e éd., Bâle 2017, n. 4 ad art. 69 CP). Il n'appartient pas au juge du séquestre de décider sur la base de laquelle de ces dispositions la confiscation du véhicule aura lieu en définitive. En effet, en tant que simple mesure provisoire, le séquestre ne préjuge pas de la décision matérielle de confiscation, laquelle interviendra dans une phase ultérieure. A ce stade de la procédure, il suffit de déterminer si une mesure de confiscation ultérieure est probable (TF 1B_389/2014 du 18 février 2015 consid. 6 ; TF 1B_252/2014 du 3 novembre 2014 consid. 2.1 ; TF 1B_127/2013 du 1 er mai 2013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