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140 vom 2. Februar 2022</w:t>
      </w:r>
    </w:p>
    <w:p>
      <w:r>
        <w:t>VD Tribunal cantonal, 2022-02-02, FR</w:t>
      </w:r>
    </w:p>
    <w:p>
      <w:r>
        <w:rPr>
          <w:b/>
        </w:rPr>
        <w:t xml:space="preserve">Quelle: </w:t>
      </w:r>
      <w:r>
        <w:t>https://mcp.opencaselaw.ch/entscheid/vd_findinfo_D_cision___2022___140</w:t>
      </w:r>
    </w:p>
    <w:p>
      <w:r>
        <w:t>FR: VD_FINDINFO Décision / 2022 / 140 du 2 février 2022</w:t>
      </w:r>
    </w:p>
    <w:p>
      <w:r>
        <w:t>IT: VD_FINDINFO Décision / 2022 / 140 del 2 febbraio 2022</w:t>
      </w:r>
    </w:p>
    <w:p>
      <w:pPr>
        <w:pStyle w:val="Heading2"/>
      </w:pPr>
      <w:r>
        <w:t>Regeste</w:t>
      </w:r>
    </w:p>
    <w:p>
      <w:r>
        <w:t>VOIES DE FAIT, NON-LIEU, REJET DE LA DEMANDE | 126 al. 1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dans les formes prescrites (art. 385 al. 1 CPP), le recours est recevable.</w:t>
      </w:r>
    </w:p>
    <w:p>
      <w:r>
        <w:rPr>
          <w:b/>
        </w:rPr>
        <w:t>E. 2.1</w:t>
      </w:r>
    </w:p>
    <w:p>
      <w:r>
        <w:t>La recourante fait valoir que la position du prévenu est impossible à connaître exactement dès lors qu’il n’a pas été interrogé en bonne et due forme par la police et que le dossier ne renferme pas de procès-verbal d’audition signé, relevant qu’on ignore dans quelle condition il a été entendu. Elle déduit du fait que le prévenu a admis avoir été énervé, avoir saisi son téléphone portable et avoir eu une discussion avec elle, qu’une ordonnance de non-entrée en matière ne pouvait pas être rendue. Elle invoque encore que « si dans chaque dossier pénal où les déclarations des parties étaient totalement contradictoires, on rendait des ordonnances de non-lieu, il ne resterait pas grand-chose à présenter devant les Tribunaux » .</w:t>
      </w:r>
    </w:p>
    <w:p>
      <w:r>
        <w:rPr>
          <w:b/>
        </w:rPr>
        <w:t>E. 2.2.1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 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Cette disposition doit être appliquée conformément à l'adage « in dubio pro duriore », qui découle du principe de la légalité (art. 5 al. 1 Cst.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w:t>
      </w:r>
    </w:p>
    <w:p>
      <w:r>
        <w:rPr>
          <w:b/>
        </w:rPr>
        <w:t>E. 2.2.2</w:t>
      </w:r>
    </w:p>
    <w:p>
      <w:r>
        <w:t>L'art. 126 al. 1 CP (Code pénal suisse du 21 décembre 1937 ; RS 311.0) punit, sur plainte, d’une amende celui qui se sera livré sur une personne à des voies de fait qui n’auront causé ni lésion corporelle ni atteinte à la santé. Les voies de fait réprimées par cette disposition se définissent comme des atteintes physiques qui excèdent ce qui est socialement toléré et qui ne causent ni lésions corporelles, ni dommage à la santé. Une telle atteinte peut exister même si elle n'a causé aucune douleur physique (ATF 134 IV 189 consid. 1.2 ; TF 6B_797/2016 du 15 août 2017 consid. 3.1). L'atteinte au sens de l'art. 126 CP présuppose une certaine intensité (TF 6B_1191/2019 du 4 décembre 2019 consid. 3.1). Peuvent être qualifiées de voies de fait, une gifle, un coup de poing ou de pied, de fortes bourrades avec les mains ou les coudes (TF 6B_782/2020 du 7 janvier 2021 consid. 3.1 ; TF 6B_1064/2019 du 16 janvier 2020 consid. 2.2 ; TF 6B_386/2019 du 25 septembre 2019 consid. 2.1), l'arrosage d'une personne au moyen d'un liquide, l'ébouriffage d'une coiffure soigneusement élaborée ou encore un « entartage » et la projection d'objets durs d'un certain poids (TF 6B_1009/2014 du 2 avril 2015 consid. 4.2).</w:t>
      </w:r>
    </w:p>
    <w:p>
      <w:r>
        <w:rPr>
          <w:b/>
        </w:rPr>
        <w:t>E. 2.3</w:t>
      </w:r>
    </w:p>
    <w:p>
      <w:r>
        <w:t>En l’espèce, les policiers se sont rendus auprès de l’entreprise [...] pour identifier l’homme dénoncé par la recourante et ils ont procédé ensuite à son audition. Il ressort des principes rappelés ci-avant qu'une ordonnance de non-entrée en matière peut être rendue après les premières investigations policières, à réception du rapport de police et ceci avant qu’il ne soit exécuté de plus amples actes d’enquête . A cet égard, la recourante perd de vue que durant la phase des investigations policières qui précède l’ouverture d’une instruction, le Ministère public peut également donner des directives à la police ou lui confier des mandats (art. 306 al. 1 et 307 al. 2 CPP) et que c’est sur la base des informations recueillies lors de ces investigations que le Ministère public pourra prendre les décisions qui s’imposent en fonction des faits dénoncés. Or, contrairement à ce qu’elle soutient, l’intimé été entendu formellement par la police en tant que prévenu dans le cadre des investigations policières et il a signé, au terme de son audition, le procès-verbal d’audition (cf. PV aud. n° 3 page 5). Il n’y a dès lors aucune informalité à ce titre. Par ailleurs, – et c’est déterminant – la recourante se contente d’affirmer que lorsque les versions des parties ne sont pas concordantes, une ordonnance de non-entrée en matière ne pourrait pas être rendue. Elle ne précise toutefois pas quelle mesure d’instruction le Ministère public pourrait mettre en œuvre qui permettrait d’étayer ses allégations. En particulier, elle ne prétend pas que des témoins auraient assisté aux faits. A ce stade, hormis ses déclarations, il n’existe pas d’indice de commission d’une infraction de voies de fait et la recourante n’en fournit aucun. Il y a lieu de relever que lors des deux incidents, c’est elle qui s’est approchée du prévenu, et non l’inverse. En outre, la recourante a déclaré que lors du premier incident, elle n’avait pas été blessée par le prévenu qui lui aurait saisi le poignet, notamment, et qu’elle avait réagi à son encontre avec colère (elle lui aurait donné un coup dans l’épaule et l’aurait injurié) ; à la deuxième rencontre, le prévenu lui souriait et ce ne serait que lorsqu’elle l’aurait informé de sa plainte pénale que son attitude aurait changé en ce sens qu’il lui aurait tapé l’épaule et tiré le pull. Ce dernier a contesté s’en être pris physiquement à la recourante. Leurs versions sont totalement contradictoires. Dans ces circonstances, rien ne permet d'apprécier l'une ou l'autre version comme étant plus ou moins vraisemblable, la version du prévenu apparaissant tout aussi plausible que celle de la recourante . Ainsi, si le prévenu était renvoyé devant un juge, les probabilités d’un acquittement seraient quasi certaines et celles d’une condamnation très improbables. C’est en définitive à juste titre que le Ministère public a considéré que les conditions d’une ordonnance de non-entrée en matière étaient remplies.</w:t>
      </w:r>
    </w:p>
    <w:p>
      <w:r>
        <w:rPr>
          <w:b/>
        </w:rPr>
        <w:t>E. 3</w:t>
      </w:r>
    </w:p>
    <w:p>
      <w:r>
        <w:t>Au vu de ce qui précède, le recours, manifestement mal fondé, doit être rejeté sans échange d’écritures (art. 390 al. 2 CPP) et l’ordonnance entreprise confirmée. Les frais de la procédure de recours, constitués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12 janvier 2022 est confirmée. III. Les frais d’arrêt, par 880 fr. (huit cent huitante francs), sont mis à la charge de L.________. IV. L’arrêt est exécutoire. La présidente : La greffière ad hoc : Du Le présent arrêt, dont la rédaction a été approuvée à huis clos, est notifié, par l'envoi d'une copie complète, à : - Me Philippe Vogel, avocat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