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133 vom 18. November 2021</w:t>
      </w:r>
    </w:p>
    <w:p>
      <w:r>
        <w:t>VD Tribunal cantonal, 2021-11-18, FR</w:t>
      </w:r>
    </w:p>
    <w:p>
      <w:r>
        <w:rPr>
          <w:b/>
        </w:rPr>
        <w:t xml:space="preserve">Quelle: </w:t>
      </w:r>
      <w:r>
        <w:t>https://mcp.opencaselaw.ch/entscheid/vd_findinfo_D_cision___2022___133</w:t>
      </w:r>
    </w:p>
    <w:p>
      <w:r>
        <w:t>FR: VD_FINDINFO Décision / 2022 / 133 du 18 novembre 2021</w:t>
      </w:r>
    </w:p>
    <w:p>
      <w:r>
        <w:t>IT: VD_FINDINFO Décision / 2022 / 133 del 18 novembre 2021</w:t>
      </w:r>
    </w:p>
    <w:p>
      <w:pPr>
        <w:pStyle w:val="Heading2"/>
      </w:pPr>
      <w:r>
        <w:t>Regeste</w:t>
      </w:r>
    </w:p>
    <w:p>
      <w:r>
        <w:t>DÉFAUT{CONTUMACE}, ENVOI RECOMMANDÉ, FICTION DE LA NOTIFICATION, NOTIFICATION IRRÉGULIÈRE, ADMISSION DE LA DEMANDE, OPPOSITION{PROCÉDURE} | 355 al. 2 CPP (CH), 87 al. 1 CPP (CH), 87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Niggli/Heer/Wiprächtiger [édit.], Basler Kommentar, Schweizerische Strafprozessordnung, 2 e éd., Bâle 2014, n. 5 ad art. 355 CPP; Schwarzenegger, in : Donatsch/Hansjakob/Lieber [édit.], Kommentar zur Schweizerischen Strafprozessordnung, 2 e éd., Zurich/Bâle/Genève 2014, n. 2 ad art. 355 CPP ; CREP 2 juillet 2020/521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Interjeté en temps utile auprès de l’autorité compétente, par le prévenu qui a qualité pour recourir (art. 382 al. 1 CPP), et satisfaisant aux conditions de forme prescrites (art. 385 al. 1 CPP), le recours de Q.________ est recevable.</w:t>
      </w:r>
    </w:p>
    <w:p>
      <w:r>
        <w:rPr>
          <w:b/>
        </w:rPr>
        <w:t>E. 2.1</w:t>
      </w:r>
    </w:p>
    <w:p>
      <w:r>
        <w:t>Le recourant prétend que l’Hôtel [...] – où la citation à comparaître lui a été envoyée – ne pourrait pas constituer son domicile au sens civil du terme, de sorte que la convocation à l’audience ne lui aurait pas été valablement notifiée. Par ailleurs, il serait douteux qu’il ait eu connaissance de cette convocation, puisque rien ne permettrait d’assurer qu’il se soit vu remettre le pli concerné. Au surplus, compte tenu de la curatelle de représentation et d’accompagnement dont il fait l’objet en raison de son incapacité à gérer ses paiements et ses affaires administratives et au vu de sa pathologie psychiatrique invalidante, on devrait douter de sa capacité de discernement en lien avec le suivi de la procédure pénale. Pour toutes ces raisons, il faudrait exclure la fiction du retrait de son opposition ensuite de son défaut à l’audience du Ministère public.</w:t>
      </w:r>
    </w:p>
    <w:p>
      <w:r>
        <w:rPr>
          <w:b/>
        </w:rPr>
        <w:t>E. 2.2.1</w:t>
      </w:r>
    </w:p>
    <w:p>
      <w:r>
        <w:t>Les art. 201 à 206 CPP règlent le mandat de comparution.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6B_289/2013 du 6 mai 2012 consid. 11.3). Dans le cadre de l’opposition à l’ordonnance pénale, l’art. 355 al. 2 CPP prévoit que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 CPP (ATF 146 IV 30 consid. 1.1.1 ;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(ATF 146 IV 30 consid. 1.1.1 ; cf. également ATF 146 IV 286 consid. 2.2 ; ATF 142 IV 158 consid. 3.1 et 3.4 ; ATF 140 IV 82 consid. 2.3 et 2.6).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cf. également ATF 146 IV 286 consid. 2.2 ; ATF 142 IV 158 consid. 3.1 et 3.3 ; ATF 140 IV 82 consid. 2.3 et 2.5 ; TF 6B_1113/2020 du 25 mars 2021 consid. 3.1). Demeurent réservés les cas d'abus de droit (ATF 146 IV 30 consid. 1.1.1 ; ATF 142 IV 158 consid. 3.4 ; cf. ATF 140 IV 82 consid. 2.7 ; TF 6B_1113/2020 précité, ibid.).</w:t>
      </w:r>
    </w:p>
    <w:p>
      <w:r>
        <w:rPr>
          <w:b/>
        </w:rPr>
        <w:t>E. 2.2.2</w:t>
      </w:r>
    </w:p>
    <w:p>
      <w:r>
        <w:t>Toute communication doit être notifiée au domicile, au lieu de résidence habituelle ou au siège du destinataire (art. 87 al. 1 CPP). Cette disposition n’exclut pas que la partie indique une adresse de notification (ATF 139 IV 228, consid. 1.1). Dès lors que le destinataire d’un acte a le droit d'indiquer une autre adresse de notification que son domicile ou sa résidence habituelle, il a le droit que les notifications se fassent à l'adresse communiquée, faute de rendre celles-ci irrégulières (ATF 139 IV 228 précité, consid. 1.2 et 1.3).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arrêts cités ; TF 6B_1451/2020 du 30 septembre 2021 consid. 2.1). En particulier, lorsque le recourant a affirmé à plusieurs reprises qu’il n’avait pas reçu le pli, le suivi des envois qui n’indique pas auprès de qui la notification est intervenue et qui ne reproduit pas la signature de la personne qui a reçu le pli ne suffit pas à établir la notification (TF 6B_1451/2020 précité consid. 2.3).</w:t>
      </w:r>
    </w:p>
    <w:p>
      <w:r>
        <w:rPr>
          <w:b/>
        </w:rPr>
        <w:t>E. 2.2.3</w:t>
      </w:r>
    </w:p>
    <w:p>
      <w:r>
        <w:t>Les personnes sous curatelle de portée générale n’ont pas l’exercice des droits civils (art. 17 et 398 al. 3 CC [Code civil du 10 décembre 1907 ; RS 210]) et leur domicile est au siège de l’autorité de protection de l’adulte (art. 26 CC). L’art. 106 al. 1 CPP prévoit que la partie ne peut valablement accomplir des actes de procédure que si elle est au bénéfice de l’exercice des droits civils, ce qui n’est pas le cas d’une personne sous curatelle de portée générale (art. 398 al. 3 CC). Toutefois, une personne qui n’a pas l’exercice des droits civils mais qui est capable de discernement peut exercer elle-même ses droits procéduraux de nature strictement personnelle, même contre l’avis de son représentant légal (art. 106 al. 3 CPP). La personne privée de l’exercice des droits civils mais capable de discernement peut ainsi se défendre dans le procès pénal, notamment recourir contre le jugement (ATF 68 IV 158) ou en demander la révision (ATF 88 IV 111, JdT 1962 IV 143), mais aussi porter plainte et agir en lien avec ces infractions (ATF 127 IV 193, JdT 2006 IV 261).</w:t>
      </w:r>
    </w:p>
    <w:p>
      <w:r>
        <w:rPr>
          <w:b/>
        </w:rPr>
        <w:t>E. 2.3</w:t>
      </w:r>
    </w:p>
    <w:p>
      <w:r>
        <w:t>En l’espèce, le prévenu a été cité à comparaître à l’adresse qu’il a indiquée lorsqu’il a été entendu par la police le 5 février 2021. Il a été entendu une nouvelle fois le 16 mars 2021 par la police et a alors déclaré être sans domicile fixe (P. 9). Il a été considéré, par arrêt de la Chambre de céans du 28 juin 2021 (n o 578) – rendu à la suite de son recours contre le prononcé déclarant irrecevable son opposition à l’ordonnance pénale du 8 avril 2021 –, qu’il savait qu’il faisait l’objet d’une instruction pénale. Par ailleurs, à la suite de l’admission de son recours, il ne pouvait que savoir non seulement qu’il faisait l’objet d’une procédure pénale, mais encore que celle-ci se poursuivait. Ceci est d’autant plus vrai que la Chambre de céans a ordonné sa mise en liberté immédiate, son opposition à l’ordonnance pénale du 8 avril 2021 ayant été considérée comme recevable. Ainsi, le prévenu ne pouvait que savoir qu’il lui appartenait de fournir une adresse de notification et de retirer ses plis à l’adresse fournie. Par ailleurs, le prévenu est représenté par un défenseur d’office dans le cadre de la procédure, qui a reçu une copie de la convocation. Il ne ressort ni du procès-verbal, ni de l’ordonnance attaquée, mais du recours que son défenseur s’est présenté à cette audience et qu’il y a affirmé que son client avait la volonté de maintenir son opposition. Ainsi, hormis cette simple déclaration de son défenseur, aucune explication ne figure au dossier sur les motifs de cette absence et rien n’a été protocolé à cet égard. Contrairement à ce qu’affirme le recourant, on ne saurait considérer que l’adresse qu’il a lui-même fournie à l’Hôtel [...] ne permet pas de notifier des convocations. Le pli a en effet été distribué le 8 juillet 2021 à cette adresse, selon le suivi des envois de la Poste. Toutefois, le dossier ne permet pas de déterminer à qui le pli a été notifié, et en particulier si le prévenu a effectivement reçu celui-ci. Selon la jurisprudence toute récente précitée, le suivi des envois de la poste ne constitue dans ces circonstances pas une preuve de la notification (TF 6B_1451/2020 précité consid. 2.3). Il existe donc un doute quant à la notification de la citation à comparaître. Le Ministère public, à qui il incombe d’établir la validité de la notification et la date de celle-ci, n'a en effet pas procédé à une vérification supplémentaire auprès de la Poste ou auprès de l’employé de l’Hôtel [...]. Dans ces circonstances, on ne peut pas considérer que le prévenu a été valablement cité à comparaître et que son opposition est réputée retirée. Au vu de ce qui précède, il n’y a pas lieu d’examiner si la notification directement au recourant et non à son curateur est valable, la question relative à sa capacité de discernement pouvant demeurer ouverte.</w:t>
      </w:r>
    </w:p>
    <w:p>
      <w:r>
        <w:rPr>
          <w:b/>
        </w:rPr>
        <w:t>E. 3</w:t>
      </w:r>
    </w:p>
    <w:p>
      <w:r>
        <w:t>Il résulte de ce qui précède que le recours doit être admis et l’ordonnance entreprise annulée. Le dossier de la cause sera renvoyé au Ministère public de l’arrondissement de Lausanne pour qu’il procède à nouveau selon l’art. 355 CPP. La requête d’assistance judiciaire tendant à la désignation de Me Nathanaël Pétermann en qualité de défenseur d’office est superflue, dès lors que son mandat d’office vaut pour toutes les étapes de la procédure (Harari/Jakob/Santamaria, in : Jeanneret et al. [édit.], op. cit., n. 1 ad art. 134 CPP) et qu’il ne prendra fin qu’à l’épuisement des voies de droit régies par le CPP, l’assistance judiciaire pour une éventuelle procédure devant le Tribunal fédéral faisant en revanche l’objet d’une nouvelle décision de ce dernier (art. 64 LTF [loi du 17 juin 2005 sur le Tribunal fédéral ; RS 173.110]). Le défenseur d’office du recourant, Me Nathanaël Pétermann, a produit le 29 octobre 2021 une liste de ses opérations faisant état d’une durée de travail de 3,7 heures consacrée à la procédure de recours (P. 26). Compte tenu du mémoire de recours et des écritures ultérieures, ledit relevé peut être admis, hormis la comptabilisation de 0,4 heure pour la confection d'un bordereau de pièces ; relevant du travail de secrétariat, cette opération ne doit en effet pas être prise en considération (CREP 20 janvier 2021/59 consid. 3 ; CREP 15 mars 2021/414 consid. 3.3). La durée raisonnable de travail sera donc arrêtée à 3,3 heures. Vu l’issue du recours, les frais d’arrêt, par 1’100 fr. (art. 20 al. 1 TFIP [tarif des frais de procédure et indemnités en matière pénale du 28 septembre 2010 ; BLV 312.03.1]), ainsi que les frais imputables à la défense d’office (art. 422 al. 1 et 2 let. a CPP), fixés à 653 fr. – qui comprennent des honoraires par 594 fr. (3,3 heures à 180 fr.), des débours forfaitaires de 2 %, par 11 fr. 90 (cf. art. 26b TFIP qui renvoie à l'art. 3 bis RAJ [règlement sur l’assistance judiciaire en matière civile du 7 décembre 2010 ; BLV 211.02.3]), et la TVA sur le tout, au taux de 7,7 %, par 46 fr. 65, le tout arrondi au franc supérieur –, seront laissés à la charge de l’Etat (art. 428 al.</w:t>
      </w:r>
    </w:p>
    <w:p>
      <w:r>
        <w:rPr>
          <w:b/>
        </w:rPr>
        <w:t>E. 4</w:t>
      </w:r>
    </w:p>
    <w:p>
      <w:r>
        <w:t>CPP). Par ces motifs, la Chambre des recours pénale prononce : I. Le recours est admis. II. L’ordonnance du 27 août 2021 est annulée. III. Le dossier de la cause est renvoyé au Ministère public de l’arrondissement de Lausanne pour qu’il procède dans le sens des considérants. IV. L’indemnité allouée à Me Nathanaël Pétermann, défenseur d’office de Q.________, est fixée à 653 fr. (six cent cinquante-trois francs). V. Les frais d’arrêt, par 1’100 fr. (mille cent francs), ainsi que l’indemnité due au défenseur d’office du recourant, par 653 fr. (six cent cinquante-trois francs), sont laissés à la charge de l’Etat. VI. L’arrêt est exécutoire. Le président :               La greffière : Du Le présent arrêt, dont la rédaction a été approuvée à huis clos, est notifié, par l'envoi d'une copie complète, à : - Me Nathanaël Pétermann, avocat (pour Q.________),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