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126 vom 17. Februar 2022</w:t>
      </w:r>
    </w:p>
    <w:p>
      <w:r>
        <w:t>VD Tribunal cantonal, 2022-02-17, FR</w:t>
      </w:r>
    </w:p>
    <w:p>
      <w:r>
        <w:rPr>
          <w:b/>
        </w:rPr>
        <w:t xml:space="preserve">Quelle: </w:t>
      </w:r>
      <w:r>
        <w:t>https://mcp.opencaselaw.ch/entscheid/vd_findinfo_D_cision___2022___126</w:t>
      </w:r>
    </w:p>
    <w:p>
      <w:r>
        <w:t>FR: VD_FINDINFO Décision / 2022 / 126 du 17 février 2022</w:t>
      </w:r>
    </w:p>
    <w:p>
      <w:r>
        <w:t>IT: VD_FINDINFO Décision / 2022 / 126 del 17 febbraio 2022</w:t>
      </w:r>
    </w:p>
    <w:p>
      <w:pPr>
        <w:pStyle w:val="Heading2"/>
      </w:pPr>
      <w:r>
        <w:t>Regeste</w:t>
      </w:r>
    </w:p>
    <w:p>
      <w:r>
        <w:t>SOUPÇON, DÉTENTION POUR DES MOTIFS DE SÛRETÉ | 221 al. 1 let. a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S.________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persiste à contester l’existence de soupçons suffisants de commission d’infractions à son encontre. Il soutient qu’aucun élément matériel ne permettrait de le relier aux faits qui lui sont reprochés. Il relève à nouveau qu’aucune correspondance dans les différentes bases de données n’a pu être établie avec son profil ADN et ses empreintes et que son téléphone portable n’a pas été utilisé en Suisse. Le fait qu’il puisse avoir pris des dispositions pour éviter de telles traces, comme l’a retenu la Chambre de céans dans son arrêt du 25 janvier 2022, ne serait pas crédible et constituerait un argument purement théorique. Le recourant fait valoir également – et à nouveau – qu’il n’aurait pas non plus été tenu compte à sa décharge que de nombreuses autres personnes, qui auraient pu commettre les délits qui lui sont reprochés, étaient mentionnées au dossier et qu’un rapport de la gendarmerie fribourgeoise le mettrait hors de cause dans certains cas. Il répète que son casier judiciaire français ne fait pas état d'infractions aussi graves que celles qui lui sont reprochées et que ses casiers judiciaires allemand, espagnol et suisse sont vierges. Il ajoute une nouvelle fois que les premières déclarations d’W.________ ne constitueraient pas une mise en cause suffisante et que celui-ci s’est rétracté lors de l’audience de confrontation du 22 décembre 2021. Enfin, le recourant persiste à soutenir que son arrestation à Barcelone ne constituerait pas non plus un indice suffisant pour justifier sa détention.</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En l’occurrence, dans son arrêt du 25 janvier 2022 (n° 58), la Chambre de céans a considéré, d’une part, que c’était à juste titre que le prévenu avait relevé que ses données signalétiques ne correspondaient pas à des traces recueillies sur les lieux des délits commis en Suisse. Cependant, cela n'excluait pas qu'il ait participé à des cambriolages, le prévenu pouvant avoir pris des mesures pour éviter que son ADN notamment se trouve sur les lieux. Il en allait de même de l'utilisation de son téléphone portable en Suisse. En outre, le fait que d'autres noms fussent mentionnés au dossier n’excluait pas une participation du prévenu et, les cambriolages ayant été commis en bande, la condamnation d'W.________ pour certains événements n'empêchait pas que le prévenu soit également condamné pour les mêmes faits. D’autre part, la Chambre de céans a constaté qu’il était exact qu'W.________ s’était retracté lorsqu’il a été confronté au prévenu en décembre 2021. Elle a estimé qu’il fallait toutefois accorder peu de crédit à ses nouvelles déclarations. En effet, lors de cette confrontation, W.________ avait commencé par déclarer qu’il n’était pas une « balance », avant même que le procureur l'interrogeât, puis il n'avait pas voulu répondre aux questions de ce dernier. Par ailleurs, il avait confirmé connaître S.________, précisant même « c'est un collègue à moi ». Enfin, concernant le fait qu'W.________ aurait menti pour alléger sa peine, la Chambre de céans a retenu qu’on ne voyait pas pour quelle raison la mise en cause d'un comparse aurait eu pour effet une réduction de peine. Le revirement d'W.________ ne remettait donc pas définitivement en cause les déclarations qu’il avait faites lors de son jugement. Ensuite, les circonstances de l’arrestation du prévenu à Barcelone constituaient indéniablement un élément à charge, comme l’avait d'ailleurs confirmé le Tribunal fédéral dans son arrêt du 17 janvier 2022. La voiture dans laquelle le recourant avait été interpellé après une course poursuite avait en effet été volée le 6 octobre 2016 à St-Gall. Elle avait été utilisée lors de six cambriolages et trois excès de vitesse perpétrés entre le 8 et le 10 octobre 2016. Des objets liés à des cambriolages avaient été retrouvés en outre dans le coffre de celle-ci. Ainsi, contrairement à ce qu’affirmait S.________, de sérieux indices existaient pour affirmer qu’il pouvait être impliqué dans le vol de ce véhicule et les diverses infractions commises avec celui-ci. Enfin, l’invraisemblance de ses déclarations quant à ses liens avec W.________ en particulier et sa présence dans ce véhicule à Barcelone rendaient les explications du recourant peu crédibles. Le recourant affirme que le fait qu’il puisse avoir pris des dispositions pour éviter de laisser des traces ne serait pas crédible et constituerait un argument purement théorique. Ce faisant, il critique le raisonnement qu’a suivi la Chambre de céans dans l’arrêt précité. Il n’appartient toutefois pas à celle-ci de se prononcer sur le bien-fondé de son arrêt précédent – qui n’est pas la décision attaquée –, ce d’autant moins que les charges pesant contre le prévenu se sont désormais concrétisées par un acte d’accusation. Pour le surplus, le recourant se contente de répéter exactement les mêmes moyens qu’il a soulevés dans ses précédents recours. Ces griefs ont tous été écartés tant par la Chambre de céans que par le Tribunal fédéral et il n’y a pas lieu d’y revenir. On peut renvoyer le recourant aux considérants de l’arrêt du 25 janvier 2022 ainsi qu’à ceux du Tribunal fédéral qui a estimé que les charges à son encontre apparaissaient suffisantes, que le revirement d’W.________ ne remettait pas en cause ses premières déclarations qui l’impliquaient clairement, que l’arrestation de S.________ à Barcelone en 2016 constituait un élément à charge indéniable et qu’il n’était pas arbitraire de considérer que ses explications à cet égard étaient invraisemblables (TF 1B_1/2022 consid. 3.2).</w:t>
      </w:r>
    </w:p>
    <w:p>
      <w:r>
        <w:rPr>
          <w:b/>
        </w:rPr>
        <w:t>E. 4</w:t>
      </w:r>
    </w:p>
    <w:p>
      <w:r>
        <w:t>Le recourant ne développe, à juste titre, pas de motivation en lien avec le risque de fuite retenu. Comme l’a retenu la Chambre de céans dans son arrêt du 25 janvier 2022, ce risque demeure réalisé compte tenu de la nationalité française du prévenu, la France n’extradant pas ses ressortissants, et de l’absence d’attaches en Suisse de celui-ci. Les conditions de l'art. 221 al. 1 CPP étant alternatives, il n'y a pas lieu d'examiner l’existence d’un risque de réitération.</w:t>
      </w:r>
    </w:p>
    <w:p>
      <w:r>
        <w:rPr>
          <w:b/>
        </w:rPr>
        <w:t>E. 5.1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w:t>
      </w:r>
    </w:p>
    <w:p>
      <w:r>
        <w:rPr>
          <w:b/>
        </w:rPr>
        <w:t>E. 5.2</w:t>
      </w:r>
    </w:p>
    <w:p>
      <w:r>
        <w:t>En l’espèce, S.________ est détenu depuis le 19 novembre 2021, soit depuis trois mois. L’audience de jugement est fixée au 6 avril 2022. Au vu des infractions retenues dans l’acte d’accusation du 25 janvier 2022, dont le vol en bande et par métier passible de 6 mois à 10 ans de peine privative de liberté et la violation grave qualifiée des règles de la circulation routière punie d’une peine privative de liberté d’un à quatre ans, la détention pour des motifs de sûreté jusqu’au 13 avril 2022 demeure proportionnée au regard de la peine susceptible d’être prononcée en cas de condamnation (art. 212 al. 3 CPP).</w:t>
      </w:r>
    </w:p>
    <w:p>
      <w:r>
        <w:rPr>
          <w:b/>
        </w:rPr>
        <w:t>E. 6</w:t>
      </w:r>
    </w:p>
    <w:p>
      <w:r>
        <w:t>Pour le surplus, aucune mesure de substitution (art. 237 CPP) n’est susceptible de prévenir valablement le risque de fuite retenu et le recourant n’en propose du reste aucune.</w:t>
      </w:r>
    </w:p>
    <w:p>
      <w:r>
        <w:rPr>
          <w:b/>
        </w:rPr>
        <w:t>E. 7</w:t>
      </w:r>
    </w:p>
    <w:p>
      <w:r>
        <w:t>Au vu de ce qui précède, le recours, manifestement mal fondé, doit être rejeté sans échange d’écritures (art. 390 al. 2 CPP) et l'ordonnance du 31 janvier 2022 confirmée. L’indemnité allouée au défenseur d’office de S.________ sera fixée en tenant compte du fait que le recours du prévenu est pour l’essentiel une reprise de ses procédés antérieurs. En l'absence de liste d'opérations, l’activité nécessaire de son défenseur est estimée à 1.5 heures au tarif horaire de 180 fr. (art. 2 al. 1 let. a et 3 al. 2 RAJ [Règlement sur l'assistance judiciaire en matière civile du 7 décembre 2010 ; BLV 211.02.3] par renvoi de l'art. 26b TFIP [Tarif des frais de procédure et indemnités en matière pénale du 28 septembre 2010 ; BLV 312.03.1]). L’indemnité due au défenseur d'office du recourant sera ainsi arrêtée à 270 fr., auxquels s'ajoutent 2% de débours forfaitaires (art. 2 al. 1 let. a et 3bis RAJ, applicables par renvoi de l'art. 26b TFIP), par 5 fr. 40, et la TVA à 7,7%, par 21 fr. 20, soit à 297 fr. au total en chiffres arrondis. Les frais de la procédure de recours, constitués en l'espèce de l'émolument d'arrêt (art. 422 al. 1 CPP), par 1’210 fr. (art. 20 al. 1 TFIP), et des frais imputables à la défense d'office (art. 422 al. 1 et 2 let. a CPP), par 297 fr., seront mis à la charge de S.________,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31 janvier 2022 est confirmée. III. L’indemnité allouée au défenseur d’office de S.________ est fixée à 297 fr. (deux cent nonante-sept francs). IV. Les frais d’arrêt, par 1’210 fr. (mille deux cent dix francs), ainsi que l’indemnité due au défenseur d’office de S.________, par 297 fr. (deux cent nonante-sept francs), sont mis à la charge de ce dernier. V. Le remboursement à l'Etat de l'indemnité allouée au chiffre III ci-dessus ne sera exigible que pour autant que la situation financière de S.________ le permette. VI. L’arrêt est exécutoire. La présidente :               La greffière : Du Le présent arrêt, dont la rédaction a été approuvée à huis clos, est notifié, par l'envoi d'une copie complète, à : - Me Jérôme Reymond, avocat (pour S.________), - Ministère public central, et communiqué à : ‑ M. le Président du Tribunal des mesures de contrainte, - M. le Procureur de l'arrondissement du Nord vaudois, - Tribunal correctionnel de l’arrondissement de la Broye et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