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118 vom 25. Januar 2022</w:t>
      </w:r>
    </w:p>
    <w:p>
      <w:r>
        <w:t>VD Tribunal cantonal, 2022-01-25, FR</w:t>
      </w:r>
    </w:p>
    <w:p>
      <w:r>
        <w:rPr>
          <w:b/>
        </w:rPr>
        <w:t xml:space="preserve">Quelle: </w:t>
      </w:r>
      <w:r>
        <w:t>https://mcp.opencaselaw.ch/entscheid/vd_findinfo_D_cision___2022___118</w:t>
      </w:r>
    </w:p>
    <w:p>
      <w:r>
        <w:t>FR: VD_FINDINFO Décision / 2022 / 118 du 25 janvier 2022</w:t>
      </w:r>
    </w:p>
    <w:p>
      <w:r>
        <w:t>IT: VD_FINDINFO Décision / 2022 / 118 del 25 gennaio 2022</w:t>
      </w:r>
    </w:p>
    <w:p>
      <w:pPr>
        <w:pStyle w:val="Heading2"/>
      </w:pPr>
      <w:r>
        <w:t>Regeste</w:t>
      </w:r>
    </w:p>
    <w:p>
      <w:r>
        <w:t>DÉCISION D'IRRECEVABILITÉ, IN DUBIO PRO DURIORE, REJET DE LA DEMANDE | 14 CP, 173 CP, 310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Interjeté en temps utile et dans les formes prescrites (art. 385 al. 1 CPP) auprès de l’autorité compétente, par la partie plaignante qui a qualité pour recourir (art. 382 al. 1 CPP), le recours de M.________ est recevable.</w:t>
      </w:r>
    </w:p>
    <w:p>
      <w:r>
        <w:rPr>
          <w:b/>
        </w:rPr>
        <w:t>E. 2</w:t>
      </w:r>
    </w:p>
    <w:p>
      <w:r>
        <w:t>Le recourant conteste que les conditions de l’art. 14 CP soient réalisées. Il soutient que l’ordonnance susmentionnée du 31 mai 2021 était contraire aux pièces ; que la procureure ne pouvait l’ignorer ; qu’elle n’a pas procédé avec la prudence requise en pareilles circonstances, et que les considérants qu’elle a posés dans son ordonnance ont porté atteinte à son honneur de façon insoutenable.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que les conditions à l’ouverture de l’action pénale ne sont manifestement pas réunis (let. a), qu’il existe des empêchements de procéder (let. b) ou que les conditions mentionnées à l’art. 8 CPP imposent de renoncer à l’ouverture d’une poursuite pénale (let. c). Selon l’art. 310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19 avril 1999 ; RS 101] et art. 2 al. 2 CPP ; ATF 138 IV 86 consid. 4.2) et signifie qu’en principe, un classement ou une non-entrée en matière ne peuvent être prononcés par le ministère public que lorsqu’il apparaît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86 consid. 4.1.2 ; ATF 137 IV 285 consid.</w:t>
      </w:r>
    </w:p>
    <w:p>
      <w:r>
        <w:rPr>
          <w:b/>
        </w:rPr>
        <w:t>E. 2.2.1</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son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6B_475/2020 du 31 août 2020 consid. 2.2.2 et les références citées). En effet, il s’agit, dans ces situations, de tenir dûment compte de la situation particulière de celui qui est tenu par la loi de s’exprimer. En particulier, le juge ou le fonctionnaire qui, dans l’exercice de ses fonctions, a l’obligation de motiver sa décision, doit invoquer des faits constitutifs d’une atteinte à l’honneur ou porter un jugement de valeur sur les circonstances personnelles ou les motifs d’autrui, est protégé par l’art. 14 CP dans la mesure où ses propos sont en rapport direct avec l’objet de la décision et qu’ils n’excèdent pas ce qui est nécessaire pour motiver celle-ci (ATF 135 IV 177 consid. 4 ; ATF 116 IV 211 consid. 4a/bb ; ATF 106 IV 179 consid. 3 ; TF 6B_850/2008 du 26 décembre 2008 consid. 2.2 ; Riklin, in : Niggli/Wiprächtiger [éd.], Basler Kommentar, Strafrecht II 4 e éd. 2019, n. 56 ad art. 173 CP et les références citées ; Dupuis et al. [éd.], Code pénal, Petit commentaire, 2 e éd. 2017, n. 22 ad art. 14 CP). La licéité de l’acte est, en tous les cas, subordonnée à la condition qu’il soit proportionné à son but (ATF 107 IV 84 consid. 4 ; TF 6B_507/2017 du 8 septembre 2017 consid. 3.4).</w:t>
      </w:r>
    </w:p>
    <w:p>
      <w:r>
        <w:rPr>
          <w:b/>
        </w:rPr>
        <w:t>E. 2.2.2</w:t>
      </w:r>
    </w:p>
    <w:p>
      <w:r>
        <w:t>L’art. 173 CP, comme l’art. 174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ATF 128 IV 53 consid. 1 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la).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6B_1254/2019 du 16 mars 2020 consid. 6.1 ;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 ATF 137 IV 313 consid. 2.1.3).</w:t>
      </w:r>
    </w:p>
    <w:p>
      <w:r>
        <w:rPr>
          <w:b/>
        </w:rPr>
        <w:t>E. 2.3</w:t>
      </w:r>
    </w:p>
    <w:p>
      <w:r>
        <w:t>En l’espèce, le recourant, faisant pour l’essentiel référence à la phrase suivante employée par la Procureure : « les nombreuses décisions versées au dossier ont permis de démontrer que les propos tenus par le prévenu (ndr : A.O.________) étaient conformes à la vérité », considère avoir été « bafoué dans son honneur » avec une intensité telle qu’il se justifie d’ouvrir une instruction. Cela étant, force est de constater que les propos tenus par la Procureure étaient dans un rapport direct avec l’affaire et qu’ils n’excédaient pas ce qui était nécessaire pour motiver son ordonnance. La procureure était en effet obligée de dire pourquoi, à tort ou à raison, elle classait la plainte. Dans ce cadre, on conçoit tout à fait que cette magistrate, afin de faire la lumière sur les faits qui lui étaient soumis, ait versé plusieurs décisions judiciaires au dossier qu’elle instruisait et qu’elle se soit appuyée sur certaines de ces pièces pour fonder son argumentation. La façon dont elle exprime ses conclusions est proportionnée aux circonstances et au but visé. Il n’apparaît donc pas, sous l’angle de l’art. 14 CP, que la Procureure se soit rendue coupable de l’infraction de diffamation dont se prévaut le recourant, pas plus que de toute autre infraction attentatoire à l’honneur, mais, au contraire, il s’avère qu’elle s’est limitée à exprimer uniquement ce qui était nécessaire à l’accomplissement de ses fonctions. Aucune mesure d’instruction n’étant de nature à mener à une appréciation différente, c’est à bon droit que le Ministère public central a refusé d’entrer en matière sur la plainte de M.________. Pour le surplus, les arguments que le recourant soulève s’agissant de la bonne administration ou non des preuves par la Procureure ne sont pas pertinents dans le cadre de la présente cause, ce d’autant que ces questions ont été tranchées par la Cour de céans dans son arrêt précité du 8 juillet 2021.</w:t>
      </w:r>
    </w:p>
    <w:p>
      <w:r>
        <w:rPr>
          <w:b/>
        </w:rPr>
        <w:t>E. 3</w:t>
      </w:r>
    </w:p>
    <w:p>
      <w:r>
        <w:t>Il résulte de ce qui précède, le recours, manifestement mal fondé, doit être rejeté sans échange d’écritures (art. 390 al. 2 CPP) et l’ordonnance entreprise confirmée.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17 novembre 2021 est confirmée. III. Les frais d’arrêt, par 990 fr. (neuf cent nonante francs), sont mis à la charge de M.________. IV. L’arrêt est exécutoire. Le président :               La greffière : Du Le présent arrêt, dont la rédaction a été approuvée à huis clos, est notifié, par l'envoi d'une copie complète, à : - Me Nicolas Rouiller, avocat (pour M.________), - M. le Procureur général du canton de Vaud,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