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108 vom 22. Dezember 2021</w:t>
      </w:r>
    </w:p>
    <w:p>
      <w:r>
        <w:t>VD Tribunal cantonal, 2021-12-22, FR</w:t>
      </w:r>
    </w:p>
    <w:p>
      <w:r>
        <w:rPr>
          <w:b/>
        </w:rPr>
        <w:t xml:space="preserve">Quelle: </w:t>
      </w:r>
      <w:r>
        <w:t>https://mcp.opencaselaw.ch/entscheid/vd_findinfo_D_cision___2022___108</w:t>
      </w:r>
    </w:p>
    <w:p>
      <w:r>
        <w:t>FR: VD_FINDINFO Décision / 2022 / 108 du 22 décembre 2021</w:t>
      </w:r>
    </w:p>
    <w:p>
      <w:r>
        <w:t>IT: VD_FINDINFO Décision / 2022 / 108 del 22 dicembre 2021</w:t>
      </w:r>
    </w:p>
    <w:p>
      <w:pPr>
        <w:pStyle w:val="Heading2"/>
      </w:pPr>
      <w:r>
        <w:t>Regeste</w:t>
      </w:r>
    </w:p>
    <w:p>
      <w:r>
        <w:t>NON-LIEU, ADMISSION DE LA DEMANDE | 310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w:t>
      </w:r>
    </w:p>
    <w:p>
      <w:r>
        <w:rPr>
          <w:b/>
        </w:rPr>
        <w:t>E. 1.2</w:t>
      </w:r>
    </w:p>
    <w:p>
      <w:r>
        <w:t>Interjeté en temps utile et dans les formes prescrites (art. 385 al. 1 CPP) auprès de l’autorité compétente, par la partie plaignante qui a qualité pour recourir (art. 382 al. 1 CPP), le recours est recevable.</w:t>
      </w:r>
    </w:p>
    <w:p>
      <w:r>
        <w:rPr>
          <w:b/>
        </w:rPr>
        <w:t>E. 2</w:t>
      </w:r>
    </w:p>
    <w:p>
      <w:r>
        <w:t>La recourante invoque une violation du principe in dubio pro duriore pour contester le refus d’entrer en matière sur sa plainte. Elle soutient notamment que diverses mesures d’instruction supplémentaires seraient à même de permettre d’apprécier la crédibilité de ses déclarations.</w:t>
      </w:r>
    </w:p>
    <w:p>
      <w:r>
        <w:rPr>
          <w:b/>
        </w:rPr>
        <w:t>E. 2.1</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qui doit être appliquée selon l’adage « in dubio pro duriore », il importe donc que les éléments constitutifs de l'infraction ne soient manifestement pas réunis (TF 6B_401/2020 du 13 août 2020 consid. 2.1). En d'autres termes, il faut être certain que l'état de fait ne constitue aucune infraction (ATF 137 IV 285 consid. 2.3, JdT 2012 IV 160).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En amont, une telle configuration exclut aussi, en principe, une décision de non-entrée en matière. Cela vaut en particulier lorsqu'il s'agit de délits commis typiquement « entre quatre yeux » pour lesquels il n'existe souvent aucune preuve objective ; il peut toutefois être renoncé à une mise en accusation ou à une ouverture d’enquête lorsqu’une condamnation apparaît au vu de l’ensemble des circonstances a priori improbable (ATF 143 IV 241 consid. 2.2.2 ; TF 6B_193/2018 du 3 juillet 2018 consid. 2.1 et les arrêts cités).</w:t>
      </w:r>
    </w:p>
    <w:p>
      <w:r>
        <w:rPr>
          <w:b/>
        </w:rPr>
        <w:t>E. 2.2</w:t>
      </w:r>
    </w:p>
    <w:p>
      <w:r>
        <w:t>En l’espèce, S.________, qui conteste les faits, a décrit la plaignante comme faisant preuve de harcèlement à son égard et comme étant manipulatrice, et a exposé avoir eu des différends avec celle-ci pour des motifs professionnels. Il n’y a pas de témoin direct des faits et il n’a pas été possible de confirmer, comme l’a allégué la plaignante, que l’intéressé lui aurait fait des avances par messages. Cette dernière a toutefois rapporté ces faits à sa mère, et à sa hiérarchie, qui l’a crue. Même si le licenciement de S.________ était déjà prévu pour des raisons économiques, il a été avancé en raison de ces faits et l’intéressé a été libéré de son obligation de travailler. La plaignante s’était en outre confiée à [...], qui avait constaté qu’elle n’avait pas l’air « dans son assiette ». En l’occurrence, on se trouve typiquement dans un cas de faits commis « entre quatre yeux » au sens de la jurisprudence précitée. En présence de déclarations contradictoires, le principe est la mise en accusation, sauf exceptions, non réalisées en l’espèce. A ce stade, on ne voit pas pourquoi une apprentie de première année accuserait à tort un collègue plus âgé. Le fait qu’il considère que c’est elle qui le harcèle est du reste troublant. Dans ses déterminations, le Ministère public ne développe aucun argument susceptible de remettre ces considérations en cause. Le fait que le licenciement de S.________ ne soit pas directement en lien avec les faits et n’ait pas eu lieu immédiatement n’ôte pas toute crédibilité aux déclarations de la plaignante, tout comme le fait qu’elle ait pu se tromper sur des éléments de détail comme des dates. C’est au demeurant à juste titre que celle-ci relève que ses déclarations pourraient être appréciées au regard des témoignages de personnes auprès desquelles elle s’est confiée ([...] et sa mère). Des employées ayant côtoyé le prévenu pourraient aussi être entendues sur son comportement général à l’égard des femmes. Certes, les faits ne sont pas d’une gravité extrême mais la victime potentielle était une apprentie, soit une jeune femme dans une position subordonnée, ce qui justifie d’autant plus d’instruire la cause de manière complète. Ces mesures d’instruction n’apparaissent ainsi pas, comme le soutient la procureure, disproportionnées.</w:t>
      </w:r>
    </w:p>
    <w:p>
      <w:r>
        <w:rPr>
          <w:b/>
        </w:rPr>
        <w:t>E. 3</w:t>
      </w:r>
    </w:p>
    <w:p>
      <w:r>
        <w:t>Au vu de ce qui précède, le recours doit être admis, l’ordonnance attaquée annulée et le dossier de la cause renvoyé au Ministère public pour qu’il ouvre une instruction. Les frais de la procédure de recours, constitués en l’espèce du seul émolument d’arrêt, par 660 fr. (art. 20 al. 1 TFIP [tarif des frais de procédure et indemnités en matière pénale du 28 septembre 2010 ; BLV 312.03.1]), seront laissés à la charge de l’Etat (art. 423 CPP). La recourante, qui a procédé avec l’assistance d’une avocate et qui a obtenu gain de cause, a droit à une indemnité pour les dépenses occasionnées par la procédure de recours (art. 436 al. 1 et 433 al. 1 CPP). Il convient de retenir une activité nécessaire d’avocat de trois heures au total ce qui, au tarif horaire de 300 fr. (art. 26a al. 4 TFIP), représente 900 francs. A ces honoraires, des débours forfaitaires à concurrence de 2% doivent être ajoutés (art. 19 al. 2 TDC [tarif des dépens en matière civile du 23 novembre 2010 ; BLV 270.11.6], applicable par analogie par renvoi de l’art. 26a al. 6 TFIP), par 18 fr., ainsi que 70 fr. 70, correspondant à la TVA. Cette indemnité, s’élevant à 989 fr. en chiffres arrondis, sera laissée à la charge de l’Etat. Dans la mesure où les frais de la procédure sont laissés à la charge de l’Etat et où une indemnité est allouée à la recourante pour les dépenses occasionnées par la procédure de recours, la requête d’assistance judiciaire gratuite pour la procédure de recours est sans objet (CREP 8 novembre 2021/1012 consid. 3 ; CREP 24 août 2021/770 consid. 3.3 ; CREP 3 août 2020/599 consid. 5 ; CREP 14 novembre 2017/773 consid. 3). Par ces motifs, la Chambre des recours pénale prononce : I. Le recours est admis. II. L’ordonnance du 9 septembre 2021 est annulée. III. Le dossier de la cause est renvoyé au Ministère public de l’arrondissement de Lausanne pour qu’il procède dans le sens des considérants. IV. La requête d’assistance judiciaire est sans objet. V. Les frais d’arrêt, par 660 (six cent soixante francs), sont laissés à la charge de l’Etat. VI. Une indemnité de 989 fr. (neuf cent huitante neuf francs) est allouée à P.________ pour les dépenses occasionnées par la procédure de recours, à la charge de l’Etat. VII. L’arrêt est exécutoire. Le président :               Le greffier : Du Le présent arrêt, dont la rédaction a été approuvée à huis clos, est notifié, par l'envoi d'une copie complète, à : - Me Anne-Claire Boudry, avocate (pour P.________), - Ministère public central, et communiqué à : ‑ Mme la Procureure de l’arrondissement de Lausanne, - M.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