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107 vom 20. Januar 2022</w:t>
      </w:r>
    </w:p>
    <w:p>
      <w:r>
        <w:t>VD Tribunal cantonal, 2022-01-20, FR</w:t>
      </w:r>
    </w:p>
    <w:p>
      <w:r>
        <w:rPr>
          <w:b/>
        </w:rPr>
        <w:t xml:space="preserve">Quelle: </w:t>
      </w:r>
      <w:r>
        <w:t>https://mcp.opencaselaw.ch/entscheid/vd_findinfo_D_cision___2022___107</w:t>
      </w:r>
    </w:p>
    <w:p>
      <w:r>
        <w:t>FR: VD_FINDINFO Décision / 2022 / 107 du 20 janvier 2022</w:t>
      </w:r>
    </w:p>
    <w:p>
      <w:r>
        <w:t>IT: VD_FINDINFO Décision / 2022 / 107 del 20 gennaio 2022</w:t>
      </w:r>
    </w:p>
    <w:p>
      <w:pPr>
        <w:pStyle w:val="Heading2"/>
      </w:pPr>
      <w:r>
        <w:t>Regeste</w:t>
      </w:r>
    </w:p>
    <w:p>
      <w:r>
        <w:t>NON-LIEU, DROIT D'ÊTRE ENTENDU | 29 al. 2 Cst.,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w:t>
      </w:r>
    </w:p>
    <w:p>
      <w:r>
        <w:rPr>
          <w:b/>
        </w:rPr>
        <w:t>E. 2.1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S’il est évident que l’identité de l’auteur de l’infraction ne pourra pas être établie, il convient de rendre une ordonnance de non-entrée en matière (Moreillon/Parein-Reymond, Petit commentaire, Code de procédure pénale suisse, 2 e éd. 2016, n. 6 ad art. 310 CPP).</w:t>
      </w:r>
    </w:p>
    <w:p>
      <w:r>
        <w:rPr>
          <w:b/>
        </w:rPr>
        <w:t>E. 2.2</w:t>
      </w:r>
    </w:p>
    <w:p>
      <w:r>
        <w:t>En vertu de l’art. 314 al. 1 let. a CPP, le Ministère public peut suspendre une instruction notamment lorsque l’auteur ou son lieu de séjour est inconnu ou qu’il existe des empêchements momentanés de procéder. Cette disposition est potestative et les motifs de suspension ne sont pas exhaustifs. Le Ministère public dispose d'un certain pouvoir d'appréciation lui permettant de choisir la mesure la plus opportune entre une suspension de la procédure, qui n’est envisageable qu’après l’ouverture d’une instruction pénale (TF 6B_211/2019 du 19 mars 2019 consid. 1.4), ou un refus d'entrer en matière (TF 1B_67/2012 du 29 mai 2012 consid. 3.1). Dans ce dernier cas, si le Ministère public considère que les conditions de l’art. 323 al. 1 CPP sont remplies, il pourra ordonner la reprise de la procédure préliminaire (ATF 144 IV 81 ; TF 6B_211/2019 précité et les références citées).</w:t>
      </w:r>
    </w:p>
    <w:p>
      <w:r>
        <w:rPr>
          <w:b/>
        </w:rPr>
        <w:t>E. 3.1</w:t>
      </w:r>
    </w:p>
    <w:p>
      <w:r>
        <w:t>Invoquant une violation de son droit d’être entendu, le recourant fait grief au Ministère public d’avoir fondé son ordonnance sur les résultats d’une analyse ADN qui ne figurerait pas au dossier. Il fait valoir qu’il ne serait dès lors pas en mesure de se déterminer sur cet élément et, le cas échéant, de requérir d’autres mesures d’instruction à ce sujet ; il soutient qu’une instruction devrait être formellement ouverte et que des mesures d’instruction devraient être ordonnées en lien avec la recherche de traces ADN de l’auteur sur son couteau et sa casquette.</w:t>
      </w:r>
    </w:p>
    <w:p>
      <w:r>
        <w:rPr>
          <w:b/>
        </w:rPr>
        <w:t>E. 3.2</w:t>
      </w:r>
    </w:p>
    <w:p>
      <w:r>
        <w:t>Le droit d'être entendu, tel qu'il est garanti par l'art. 29 al. 2 Cst.,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précité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 TF 6B_1014/2020 du 10 février 2021 consid. 2.1.2 ; TF 6B_290/2020 précité et les références citées).</w:t>
      </w:r>
    </w:p>
    <w:p>
      <w:r>
        <w:rPr>
          <w:b/>
        </w:rPr>
        <w:t>E. 3.3</w:t>
      </w:r>
    </w:p>
    <w:p>
      <w:r>
        <w:t>Dans ses déterminations du 6 janvier 2022, le Ministère public a indiqué que des recherches de traces biologiques avaient bien été effectuées par la police sur le couteau et sur la casquette de l’auteur et a exposé que c’était à la suite de l’analyse de ces prélèvements qu’une correspondance avait été mise en évidence entre le profil ADN du recourant et celui trouvé sur le manche du couteau. La Procureure a précisé qu’il s’agissait de la seule correspondance obtenue, dès lors que les recherches effectuées n’avaient amené aucun autre résultat positif (« hit »), raison pour laquelle aucun rapport spécifique concernant les résultats des analyses n’avait été établi pour figurer au dossier. Elle a convenu que le rapport de police du 8 septembre 2021 (P. 9) ne précisait pas expressément qu’un autre profil ADN, inconnu dans le système d’information CODIS, avait également été retrouvé sur le manche du couteau, mais a relevé que cela n’était pas déterminant dès lors que, dans tous les cas, l’auteur demeurait en l’état non identifiable. La Procureure a expliqué à cet égard que ce n’était que dans l’hypothèse d’une interpellation ultérieure de l’auteur avec prise de données signalétiques que le lien entre les cas pourrait être fait grâce à la banque de données CODIS, éventualité dans laquelle la procédure préliminaire serait alors reprise. S’il peut être donné acte au recourant que le rapport de police du 8 septembre 2021 (P. 9) est incomplet et qu’il ne contient en particulier pas les résultats de l’analyse ADN auxquels il se réfère, il y a lieu de rappeler que le droit de participer à l’administration des preuves n’existe pas au stade de la non-entrée en matière, soit avant l’ouverture formelle de l’instruction, de sorte que le droit d’être entendu du recourant s’exerce par le présent recours contre l’ordonnance de non-entrée en matière. Cela étant, compte tenu des éléments en sa possession, le refus du Ministère public d’entrer en matière sur la plainte d’U.________ à ce stade n’est pas critiquable, dès lors que les investigations policières menées n’ont pas permis d’identifier l’auteur des faits dénoncés par le plaignant et qu’il apparaît d’emblée qu’aucun autre acte d’enquête ne pourra permettre son identification, étant rappelé que les images de vidéosurveillance ont fait l’objet d’une diffusion aux services de police qui s’est révélée vaine et que le couteau et la casquette retrouvés sur les lieux de l’altercation ont déjà fait l’objet d’une analyse ADN qui n’a mis en évidence aucune correspondance, si ce n’est avec l’ADN du plaignant lui-même.</w:t>
      </w:r>
    </w:p>
    <w:p>
      <w:r>
        <w:rPr>
          <w:b/>
        </w:rPr>
        <w:t>E. 4</w:t>
      </w:r>
    </w:p>
    <w:p>
      <w:r>
        <w:t>Il résulte de ce qui précède que le recours doit être rejeté et l’ordonnance entreprise confirmée. Dès lors que le rapport de police était incomplet et que le droit d’être entendu du recourant a dû s’exercer par le biais du présent recours, les frais de la procédure, constitués en l’espèce de l’émolument d’arrêt, par 880 fr. (art. 20 al. 1 TFIP [tarif des frais de procédure et indemnités en matière pénale du 28 septembre 2010 ; BLV 312.03.1]), et des frais imputables à la défense d’office d’U.________ (art. 422 al. 1 et 2 let. a CPP), fixés, comme requis, à 527 fr. 30, TVA et débours compris, seront laissés à la charge de l’Etat. Par ces motifs, la Chambre des recours pénale prononce : I. Le recours est rejeté. II. L’ordonnance du 16 décembre 2021 est confirmée. III. Une indemnité de 527 fr. 30 (cinq cent vingt-sept francs et trente centimes) est allouée à Me Fabien Mingard, conseil juridique gratuit d’U.________. IV. Les frais d’arrêt, par 880 fr. (huit cent huitante francs), ainsi que l’indemnité due au conseil juridique gratuit du recourant, par 527 fr. 30 (cinq cent vingt-sept francs et trente centimes), sont laissés à la charge de l’Etat. V. L’arrêt est exécutoire. Le président :               La greffière : Du Le présent arrêt, dont la rédaction a été approuvée à huis clos, est notifié, par l'envoi d'une copie complète, à : - Me Fabien Mingard, avocat (pour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