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101 vom 11. Januar 2022</w:t>
      </w:r>
    </w:p>
    <w:p>
      <w:r>
        <w:t>VD Tribunal cantonal, 2022-01-11, FR</w:t>
      </w:r>
    </w:p>
    <w:p>
      <w:r>
        <w:rPr>
          <w:b/>
        </w:rPr>
        <w:t xml:space="preserve">Quelle: </w:t>
      </w:r>
      <w:r>
        <w:t>https://mcp.opencaselaw.ch/entscheid/vd_findinfo_D_cision___2022___101</w:t>
      </w:r>
    </w:p>
    <w:p>
      <w:r>
        <w:t>FR: VD_FINDINFO Décision / 2022 / 101 du 11 janvier 2022</w:t>
      </w:r>
    </w:p>
    <w:p>
      <w:r>
        <w:t>IT: VD_FINDINFO Décision / 2022 / 101 del 11 gennaio 2022</w:t>
      </w:r>
    </w:p>
    <w:p>
      <w:pPr>
        <w:pStyle w:val="Heading2"/>
      </w:pPr>
      <w:r>
        <w:t>Regeste</w:t>
      </w:r>
    </w:p>
    <w:p>
      <w:r>
        <w:t>REJET DE LA DEMANDE, LIBÉRATION CONDITIONNELLE | 59 CP</w:t>
      </w:r>
    </w:p>
    <w:p>
      <w:pPr>
        <w:pStyle w:val="Heading2"/>
      </w:pPr>
      <w:r>
        <w:t>Erwägungen</w:t>
      </w:r>
    </w:p>
    <w:p>
      <w:r>
        <w:rPr>
          <w:b/>
        </w:rPr>
        <w:t>E. 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w:t>
      </w:r>
    </w:p>
    <w:p>
      <w:r>
        <w:rPr>
          <w:b/>
        </w:rPr>
        <w:t>E. 2</w:t>
      </w:r>
    </w:p>
    <w:p>
      <w:r>
        <w:t>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le recours est recevable.</w:t>
      </w:r>
    </w:p>
    <w:p>
      <w:r>
        <w:rPr>
          <w:b/>
        </w:rPr>
        <w:t>E. 2.1</w:t>
      </w:r>
    </w:p>
    <w:p>
      <w:r>
        <w:t>Le recourant requiert le changement de la mesure d’internement au sens de l’art. 64 CP à laquelle il est actuellement soumis en une mesure thérapeutique institutionnelle au sens de l’art. 59 CP. Il expose qu'il a pu intégrer l'établissement pénitentiaire de Curabilis en septembre 2015 et que si les rapports déposés au moment de la saisine du Juge d’application des peines étaient sombres, tel ne serait plus le cas actuellement. Selon lui, l'ensemble des intervenants qui le suivent relèveraient la nécessité d'un changement de mesure dès lors que si l'internement devait être maintenu, aucune progression dans l'exécution de la mesure ne pourrait s'effectuer dans le cadre de Curabilis. Le recourant reconnaît que la décision attaquée respecte la jurisprudence du Tribunal fédéral mais considère que dans son cas, elle est disproportionnée car inadéquate et conduit à un résultat arbitraire.</w:t>
      </w:r>
    </w:p>
    <w:p>
      <w:r>
        <w:rPr>
          <w:b/>
        </w:rPr>
        <w:t>E. 2.2.1</w:t>
      </w:r>
    </w:p>
    <w:p>
      <w:r>
        <w:t>Selon l’art. 64b al. 1 let. a CP, l’autorité compétente doit examiner d’office ou sur demande, au moins une fois par an, si l’auteur peut être libéré conditionnellement de l’internement et, si tel est le cas, quand il peut l’être (art. 64a al. 1 CP). Selon l’art. 64b al. 1 let. b CP, elle examine, d’office ou sur demande, au moins une fois tous les deux ans et pour la première fois avant le début de l’internement, si les conditions d’un traitement thérapeutique institutionnel sont réunies et si une demande en ce sens doit être faite auprès du juge compétent (cf. art. 65 al. 1 CP ;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aux mesures institutionnelles prévues par l'art. 59 CP. En tant qu'ultima ratio, en raison de la gravité de l'atteinte à la liberté personnelle qu'il représente, l'internement n'entre ainsi pas en considération si une mesure institutionnelle apparaît utile (ATF 139 IV 57 consid. 1.3.3). Ce n'est que lorsque cette dernière semble dénuée de chances de succès que l'internement peut être maintenu, s'il est nécessaire. Cette démarche doit permettre d'éviter qu'un auteur soit déclaré a priori « incurable » et interné dans un établissement d'exécution des peines (ATF 140 IV 1 consid. 3.2.4 ; ATF 134 IV 315 consid. 3.2).</w:t>
      </w:r>
    </w:p>
    <w:p>
      <w:r>
        <w:rPr>
          <w:b/>
        </w:rPr>
        <w:t>E. 2.2.2</w:t>
      </w:r>
    </w:p>
    <w:p>
      <w:r>
        <w:t>Le prononcé d'une mesure thérapeutique institutionnelle selon l'art. 59 CP suppose l’existence d’un grave trouble mental, le fait que l'auteur ait commis un crime ou un délit en relation avec ce trouble (let. a) et qu'il soit à prévoir que cette mesure le détournera de nouvelles infractions en relation avec celui-ci (let. b). La mesure thérapeutique au sens de l'art. 59 CP vise avant tout « un impact thérapeutique dynamique », et donc une amélioration du pronostic légal, et non la « simple administration statique et conservatoire » des soins (ATF 137 IV 201 consid. 1.3 ; ATF 134 IV 315 précité consid. 3.6 ; TF 6B_205/2012 du 27 juillet 2012 consid. 3.2.1). Il doit être suffisamment vraisemblable que le traitement entraînera, dans les cinq ans de sa durée normale, une réduction nette du risque que l'intéressé commette de nouvelles infractions (ATF 140 IV 1 précité ; ATF 134 IV 315 précité consid. 3.4.1 ; TF 6B_486/2019 du 12 juin 2019 consid. 2.2.1). La seule possibilité vague d'une diminution du risque ou l’espoir d'une diminution seulement minimale de ce risque ne sont en revanche pas suffisants (ATF 141 IV 1 consid. 3.2.4 ; ATF 134 IV 315 précité). Pour que la mesure puisse atteindre son but, il faut que l'auteur contribue un minimum au traitement. Il ne faut toutefois pas poser des exigences trop élevées à la disposition minimale de l'intéressé à coopérer à la mesure (ATF 123 IV 113 consid. 4c/dd ; TF 6B_486/2019 précité). Il suffit que l'intéressé puisse être motivé (« motivierbar » ; TF 6B_486/2019 précité ; TF 6B_205/2012 du 27 juillet 2012 consid. 3.2.1 ; TF 6B_784/2010 du 2 décembre 2010 consid. 2.2.3). Une mesure thérapeutique institutionnelle peut contribuer à garantir la sécurité publique de la même façon que l'internement, dans la mesure où elle peut être exécutée dans un établissement fermé ou dans un établissement pénitentiaire (art. 59 al. 3 CP ; ATF 134 IV 315 précité consid.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précité consid. 3.5). 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précité).</w:t>
      </w:r>
    </w:p>
    <w:p>
      <w:r>
        <w:rPr>
          <w:b/>
        </w:rPr>
        <w:t>E. 2.2.3</w:t>
      </w:r>
    </w:p>
    <w:p>
      <w:r>
        <w:t>Pour déterminer si les conditions d'un traitement thérapeutique institutionnel sont réunies, l’autorité compétente s’entoure d’informations provenant de diverses sources : un rapport de la direction de l’établissement, une expertise indépendante au sens de l’art. 56 al. 4 CP, l’audition d’une commission composée de représentants des autorités de poursuite pénale, des autorités d’exécution et des milieux de la psychiatrie au sens de l’art. 62d al. 2 CP, ainsi que l’audition de l’auteur (art. 64b al. 2 CP). L’expertise doit se déterminer sur la nécessité et les chances de succès d’un traitement, sur la vraisemblance que l’auteur commette d’autres infractions et sur la nature de celles-ci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précité). Selon la jurisprudence rendue sous l’empire de l’ancien droit, le critère formel de la date de l’expertise n’est pas en soi déterminant. Le juge peut se fonder sur une expertise relativement ancienne à condition que la situation n’ait pas changé entre-temps. Si, en revanche, par l’écoulement du temps et à la suite d’un changement de circonstances, l’expertise existante ne reflète plus l’état actuel, une nouvelle évaluation est indispensable (ATF 128 IV 241 consid. 3.4). Contrairement au droit actuel (art. 64b al. 2 CP), l’ancien droit n’exigeait pas que la révision annuelle de l’internement se fonde sur une expertise. Selon la jurisprudence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 un complément d'expertise peut s'avérer suffisant (TF 6B_815/2015 du 11 avril 2016 consid. 1.2 ; TF 6B_323/2014 du 10 juillet 2014 consid. 3 et les références citées ; TF 6B_413/2012 consid. 2.1 et les références citées, SJ 2013 I 401). Il n’y a pas lieu de s’écarter de cette jurisprudence, qui est également applicable à la révision biennale visant à établir si les conditions d’une mesure thérapeutique institutionnelle sont remplies (CREP 11 septembre 2019/744 consid. 2.2.3 ; CREP 19 juin 2018/474 consid. 2.3).</w:t>
      </w:r>
    </w:p>
    <w:p>
      <w:r>
        <w:rPr>
          <w:b/>
        </w:rPr>
        <w:t>E. 2.3</w:t>
      </w:r>
    </w:p>
    <w:p>
      <w:r>
        <w:t>En l’espèce, dans leur rapport d’expertise psychiatrique du 31 janvier 2020 (P. 23), les experts ont retenu un diagnostic de trouble de la personnalité dyssociale. Ils ont relevé que le recourant ne semblait pas en mesure de comprendre ce qui était attendu de lui, ce qui indiquait des capacités à pouvoir entrer dans un processus thérapeutique évolutif encore moindres qu'envisagées antérieurement. Ils ont notamment indiqué que d'un point de vue clinique, le tableau n'avait que très peu évolué et que les quatre années passées en milieu thérapeutique pouvaient être considérées comme un échec. Aucune amorce de travail concernant les délits pour lesquels l’expertisé avait été condamné n'avait pu à ce jour être entamée, malgré les tentatives des thérapeutes dans ce sens. Au contraire, les experts ont relevé la persistance de réactions de prestance, de projets futurs peu réalistes, d'une attitude murée dans le déni, le dénigrement et l'opposition plus ou moins passive (P. 23, pp. 17-18). Les experts n'ont pas mis en évidence d'éléments permettant une appréciation différente de la situation par rapport aux précédentes évaluations du recourant, qui retenaient un risque de récidive significatif justifiant la poursuite de la mesure d'internement décidée en 2006. Ils ont considéré qu'un changement de mesure vers un traitement institutionnel au sens de l’art. 59 CP ne paraissait pas susceptible de permettre une amélioration significative, en termes de risque de récidive, dans un délai de cinq ans, au vu de l'évolution des dernières années dans un cadre thérapeutique comme celui de Curabilis. Dans leur rapport complémentaire du 5 juillet 2021 (P. 65), les experts ont confirmé leur position en précisant que « si, d'un point de vue psychiatrique, la nécessité d'une poursuite des efforts thérapeutiques tels que mentionnés dans notre rapport paraît indubitable, la perspective de modifications en profondeur du fonctionnement psychique de Monsieur F.________, susceptible de permettre une inflexion sensible du risque de récidive dans un délai de cinq ans paraît peu probable au regard de l'évolution de l'expertisé depuis sa condamnation. » Pour les experts, le passage à une mesure thérapeutique institutionnelle du recourant préconisé par les divers intervenants constituait seulement un nouvel épisode du questionnement que posait la prise en charge de l'intéressé depuis de nombreuses années. La CIC s'est aussi déterminée le 12 octobre 2020 (P. 40/5) sur la base des nouvelles pièces produites au dossier du recourant. Elle a fait siennes les conclusions de l'expertise, considérant qu'un changement de mesure ou une conduite étaient largement prématurés, au regard de l'absence de progrès observables concernant les éléments les plus préoccupants de la présentation psycho-comportementale du recourant. Compte tenu de l’ensemble de ces éléments, force est de retenir que les conditions d'un passage en régime de mesure thérapeutique institutionnelle au sens de l'art. 59 CP ne sont pas réunies. Les critères jurisprudentiels ne sont clairement pas remplis. En effet, il n’est pas suffisamment vraisemblable que le traitement entraine, dans les cinq ans de sa durée normale, une réduction nette du risque que le recourant commette de nouvelles infractions. Les experts, suivis en cela par la CIC, ont au contraire retenu qu'un changement de mesure vers un traitement institutionnel au sens de l’art. 59 CP ne paraissait pas susceptible de permettre une amélioration significative, en termes de risque de récidive, dans un délai de cinq ans, au vu de l'évolution des dernières années dans un cadre thérapeutique comme celui de Curabilis. Le complément d'expertise effectué sur la base des dernières évaluations versées au dossier n'a fait que confirmer ce constat. Il résulte de ce qui précède que, contrairement à ce que soutient le recourant, les premiers juges étaient fondés à ordonner le maintien de l'internement au sens de l’art. 64 CP en application et dans le respect de la jurisprudence topique.</w:t>
      </w:r>
    </w:p>
    <w:p>
      <w:r>
        <w:rPr>
          <w:b/>
        </w:rPr>
        <w:t>E. 3</w:t>
      </w:r>
    </w:p>
    <w:p>
      <w:r>
        <w:t>En définitive, le recours, manifestement mal fondé, doit être rejeté sans échange d'écritures (art. 390 al. 2 CPP) et la décision entreprise confirmée. Au vu du mémoire de recours produit, les honoraires alloués au défenseur d’office de F.________ seront fixés à 900 fr., correspondant à une activité nécessaire d’avocat de 5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18 fr., plus la TVA au taux de 7,7 %, par 70 fr. 70, soit 989 fr. au total en chiffres arrondis. Vu l’issue de la cause, les frais de la procédure de recours, par 2’530 fr. (art. 20 al. 1 TFIP [tarif des frais de procédure et indemnités en matière pénale du 28 septembre 2010 ; BLV 312.03.1]), ainsi que les frais imputables à la défense d’office (art. 422 al. 1 et 2 let. a CPP), fixés à 989 fr.,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7 décembre 2021 est confirmée. III. L’indemnité due pour la procédure de recours à Me Tiphanie Chappuis, défenseur d’office de F.________, est fixée à 989 fr. (neuf cent huitante-neuf francs). IV. Les frais d’arrêt, par 2’530 fr. (deux mille cinq cent trente francs), ainsi que l’indemnité due au défenseur d’office de F.________, par 989 fr. (neuf cent huitante-neuf francs), sont mis à la charge de ce dernier. V. Le remboursement à l’Etat de l’indemnité allouée au chiffre III ci-dessus ne sera exigible que pour autant que la situation financière de F.________ le permette. VI. L’arrêt est exécutoire. Le président :               La greffière : Du Le présent arrêt, dont la rédaction a été approuvée à huis clos, est notifié, par l'envoi d'une copie complète, à : - Me Tiphanie Chappuis, avocate (pour F.________), - Ministère public central, et communiqué à : ‑ Mme la Présidente du Collège des Juges d’application des peines, - Office d’exécution des peines (réf. : OEP/MES/15522/CGY/NJ, - Direction de l’EPF Curabilis, - Service de la population (27.04.1980),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