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1009 vom 29. Dezember 2022</w:t>
      </w:r>
    </w:p>
    <w:p>
      <w:r>
        <w:t>VD Tribunal cantonal, 2022-12-29, FR</w:t>
      </w:r>
    </w:p>
    <w:p>
      <w:r>
        <w:rPr>
          <w:b/>
        </w:rPr>
        <w:t xml:space="preserve">Quelle: </w:t>
      </w:r>
      <w:r>
        <w:t>https://mcp.opencaselaw.ch/entscheid/vd_findinfo_D_cision___2022___1009</w:t>
      </w:r>
    </w:p>
    <w:p>
      <w:r>
        <w:t>FR: VD_FINDINFO Décision / 2022 / 1009 du 29 décembre 2022</w:t>
      </w:r>
    </w:p>
    <w:p>
      <w:r>
        <w:t>IT: VD_FINDINFO Décision / 2022 / 1009 del 29 dicembre 2022</w:t>
      </w:r>
    </w:p>
    <w:p>
      <w:pPr>
        <w:pStyle w:val="Heading2"/>
      </w:pPr>
      <w:r>
        <w:t>Regeste</w:t>
      </w:r>
    </w:p>
    <w:p>
      <w:r>
        <w:t>TÉLÉPHONE, DÉLAI D'INTERDICTION, PROPORTIONNALITÉ, DÉTENTION PROVISOIRE, RISQUE DE COLLUSION | 235 CPP (CH)</w:t>
      </w:r>
    </w:p>
    <w:p>
      <w:pPr>
        <w:pStyle w:val="Heading2"/>
      </w:pPr>
      <w:r>
        <w:t>Erwägungen</w:t>
      </w:r>
    </w:p>
    <w:p>
      <w:r>
        <w:rPr>
          <w:b/>
        </w:rPr>
        <w:t>E. 1.1</w:t>
      </w:r>
    </w:p>
    <w:p>
      <w:r>
        <w:t>Selon l’art. 393 al. 1 let. a CPP (Code de procédure pénale suisse du 5 octobre 2007 ; RS 312.0), le recours est recevable contre les décisions et les actes de procédure du ministère public. Tel est notamment le cas d’une ordonnance ayant pour objet l’exécution de la détention provisoire (Sträuli, in : Jeanneret/Kuhn/Perrier Depeursinge [éd.], Commentaire romand, Code de procédure pénale suisse, 2e éd., Bâle 2019, n. 15 ad art. 393 CPP). Le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dans le délai légal, auprès de l’autorité compétente et dans les formes prescrites (art. 385 al. 1 CPP), contre une ordonnance du Ministère public prononçant une interdiction de téléphoner en détention provisoire, par le prévenu qui a qualité pour recourir (art. 382 al. 1 CPP), le recours de V.M.________ est recevable.</w:t>
      </w:r>
    </w:p>
    <w:p>
      <w:r>
        <w:rPr>
          <w:b/>
        </w:rPr>
        <w:t>E. 2.1</w:t>
      </w:r>
    </w:p>
    <w:p>
      <w:r>
        <w:t>à 2.3 ; TF 1B_17/2015 du 18 mars 2015 consid. 3.1 ; Schmid/Jositsch, Schweizerische Strafprozessordnung (StPO) : Praxiskommentar, 3e éd., Zurich 2018, n. 1 ad art. 235 CPP). Il appartient au législateur cantonal de régler les droits et les obligations des prévenus en détention (art. 235 al.</w:t>
      </w:r>
    </w:p>
    <w:p>
      <w:r>
        <w:rPr>
          <w:b/>
        </w:rPr>
        <w:t>E. 2.2.1</w:t>
      </w:r>
    </w:p>
    <w:p>
      <w:r>
        <w:t>L’art. 73 al. 1 prévoit que les membres des autorités pénales, leurs collaborateurs, ainsi que leurs experts commis d’office gardent le silence sur les faits qui parviennent à leur connaissance dans l’exercice de leur activité officielle. Aux termes de l’art. 73 al. 2 CPP, la direction de la procédure peut obliger la partie plaignante, d'autres participants à la procédure ainsi que leurs conseils juridiques, sous commination de la peine prévue à l'art. 292 CP, à garder le silence sur la procédure et sur les personnes impliquées, lorsque le but de la procédure ou un intérêt privé l'exige. Cette obligation doit être limitée dans le temps.</w:t>
      </w:r>
    </w:p>
    <w:p>
      <w:r>
        <w:rPr>
          <w:b/>
        </w:rPr>
        <w:t>E. 2.2.2</w:t>
      </w:r>
    </w:p>
    <w:p>
      <w:r>
        <w:t>L’art. 235 CPP prévoit que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L'art. 235 al. 1 CPP constitue la base légale permettant de restreindre les droits des prévenus dans la mesure où le but de la détention l'exige (TF 1B_122/2020 du 20 mars 2020 consid.</w:t>
      </w:r>
    </w:p>
    <w:p>
      <w:r>
        <w:rPr>
          <w:b/>
        </w:rPr>
        <w:t>E. 2.3</w:t>
      </w:r>
    </w:p>
    <w:p>
      <w:r>
        <w:t>En l’espèce, on relèvera d’abord que le Ministère public n’a pas fondé l’interdiction faite au recourant de téléphoner sur l’art. 73 CPP, qui est d’ailleurs hors-sujet. Les griefs du recourant à cet égard tombent dès lors à faux. Ensuite, il existe en l’état un risque concret de collusion, comme l’ont d’ailleurs retenu les différentes ordonnances rendues par le Tribunal des mesures de contrainte pour justifier la détention provisoire du recourant. En effet, celui-ci conteste les faits qui lui sont reprochés par les plaignantes I.M.________ et G.________. A cet égard, des mesures d’instruction doivent encore être menées. Le Ministère public est notamment dans l’attente du dépôt du rapport de l’examen clinique de G.________ effectué par le Centre universitaire romand de médecine légale et une nouvelle audition du prévenu par la police devrait avoir lieu au mois de janvier 2023 (cf. PV des opérations, p. 9). Il est dès lors à craindre que le recourant n’interfère dans l’instruction en demandant à ses interlocuteurs d’influencer notamment les plaignantes pour qu’elles modifient leur version des faits, étant précisé que les faits reposent en grande partie sur les déclarations de ces dernières. Ce risque est d’autant plus important que le recourant peine à comprendre et à respecter le cadre qui lui est fixé en détention. En effet, il s’est entretenu de l’affaire en cours avec sa mère lors d’un appel téléphonique du 5 octobre 2022, en lui indiquant les faits qui lui étaient reprochés et, en dépit d’une mise en garde du procureur qu’en cas de récidive, ses prochaines demandes de téléphoner seraient refusées, il a répété ses agissements : en effet, en date du 15 novembre 2022, lors d’un entretien téléphonique avec B.________, un ami, il a à nouveau parlé de l’affaire en cours, en indiquant que des stupéfiants avaient été trouvés à son domicile et que la partie plaignante G.________ l’avait accusé d’avoir utilisé un couteau à son encontre. Il s’est en outre autorisé à proférer des injures à l’encontre des parties plaignantes. Au vu de l’ensemble de ces éléments, le risque de collusion est concret. Le fait que la mère du recourant ait été autorisée à lui rendre visite ne modifie pas cette appréciation, dès lors qu’il ne signifie pas que le risque de collusion est inexistant. Au vu de ce qui précède, c’est à raison que le Ministère public a considéré que les contacts téléphoniques que le recourant avait avec l’extérieur pouvaient être supprimés.</w:t>
      </w:r>
    </w:p>
    <w:p>
      <w:r>
        <w:rPr>
          <w:b/>
        </w:rPr>
        <w:t>E. 2.4</w:t>
      </w:r>
    </w:p>
    <w:p>
      <w:r>
        <w:t>Sous l’angle de la proportionnalité, au vu de l’ingérence dans le droit aux relations personnelles que l’interdiction de téléphoner représente, cette mesure doit être limitée dans le temps. Il n’est en effet pas suffisant que celle-ci soit implicitement limitée au réexamen de la détention provisoire. Le recours doit donc être admis sur ce point. Il appartiendra au procureur, s’il considère que cette mesure se justifie encore, d’indiquer pour quelle durée l’interdiction de téléphoner est prononcée. 3. En définitive, le recours doit être admis, l’ordonnance attaquée annulée et le dossier de la cause renvoyé au Ministère public pour qu’il procède dans le sens des considérants qui précèdent. L’avocat Laurent Fischer, qui avait été désigné le 18 juillet 2022 comme défenseur d’office du recourant, a requis l’assistance judiciaire pour la procédure de recours. Cette requête est superflue. En effet, le droit à une défense d’office vaut pour toutes les étapes de la procédure (Harari/Aliberti, in: Kuhn/Jeanneret/Perrier Depeursinge [éd.], Commentaire romand, Code de procédure pénale suisse, Bâle 2019,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Les frais de la procédure de recours, constitués de l'émolument d'arrêt, par 1'210 fr. (art. 20 al. 1 TFIP [Tarif des frais de procédure et indemnités en matière pénale du 28 septembre 2010 ; BLV 312.03.1]), et des frais imputables à la défense d’office (art. 422 al. 1 et 2 let. a CPP), fixés à 540 fr. (trois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w:t>
      </w:r>
    </w:p>
    <w:p>
      <w:r>
        <w:rPr>
          <w:b/>
        </w:rPr>
        <w:t>E. 5</w:t>
      </w:r>
    </w:p>
    <w:p>
      <w:r>
        <w:t>CPP ; TF 1B_410/2019 du 4 octobre 2019 consid. 3.1 ; TF 1B_425/2015 du 21 juin 2016 consid. 2.4.1). La garantie de la liberté personnelle (art. 10 al. 2 Cst. [Constitution fédérale de la Confédération suisse du 18 avril 1999 ; RS 101]) et le droit au respect de la vie privée et familiale (art. 8 CEDH [Convention de sauvegarde des droits de l’homme et des libertés fondamentales du 4 novembre 1950 ; RS 0.101] et 13 Cst.) permettent aux personnes détenues d'entretenir des contacts avec les membres de leur famille, dans les limites découlant de la mesure de contrainte qui leur est imposée et du rapport de sujétion spécial qui les lie à l'Etat (ATF 145 I 318 consid. 2.1). Au sens des art. 13 Cst. et 8 CEDH, la vie familiale ne se limite pas à la famille nucléaire ou traditionnelle – des conjoints mariés et leurs enfants – mais s’étend aux proches parents unis par un lien étroit et intense et elle doit être effectivement vécue. Pour les époux, cette exigence n’est pas forcément synonyme de vie commune, qui peut être interrompue sans que la vie familiale ne soit rompue. Pour les autres parents proches, l’exigence d’effectivité de la vie familiale est d’autant plus forte que le lien de parenté est lointain. Selon la jurisprudence de la Cour européenne des droits de l’homme, des liens de parenté proches ne sont pas non plus toujours nécessaires pour conclure à une « vie familiale » au sens de l’art. 8 par. 1 CEDH. Dans cette approche, l’intensité de la relation factuelle peut donc pallier l’absence de rapport de parenté biologique et/ou juridique. Des concubins dont la vie commune dure depuis 15 ans peuvent ainsi se prévaloir de la garantie de la vie familiale au sens précité (Dubey, Droits fondamentaux, vol. II, Bâle 2018, nn. 1804-1810 et les réf. citées). Conformément aux exigences de l'art. 36 Cst., les restrictions à ces droits doivent reposer sur une base légale et ne pas aller au-delà de ce qui est nécessaire au but de l'incarcération et au fonctionnement de l'établissement de détention (ATF 145 I 318 consid. 2.1 ; ATF 143 I 241 consid. 3.4 et les réf. citées).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(ATF 145 I 318 consid. 2.1). Conformément à la jurisprudence du Tribunal fédéral, les visites ou les appels téléphoniques, même en faveur des proches, peuvent être refusés à la personne placée en détention provisoire en cas de danger important de collusion (ATF 143 I 241 consid. 3.6 et les réf. citées). La Recommandation Rec(2006)2 sur les Règles pénitentiaires européennes, adoptée le 11 janvier 2006 par le Comité des Ministres du Conseil de l'Europe,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droits fondamentaux garantis par la Cst. et la CEDH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(ATF 145 I 318 consid. 2.2 ; TF 1B_202/2016 du 14 juillet 2016 consid. 2.2). Dans le canton de Vaud, le RSDAJ (Règlement sur le statut des personnes détenues placées en établissement de détention avant jugement du 28 novembre 2018 ; BLV 340.02.5) est applicable à toutes les personnes majeures détenues avant jugement, dans un établissement de détention avant jugement (art. 2 et 3 RSDAJ). Les relations des détenus avec l'extérieur sont précisées aux art. 53 ss RSDAJ. L'usage du téléphone est réglementé à l'art. 63 RSDAJ, dont l'al. 1 dispose que, pour autant que l'autorité dont elles dépendent les y ait autorisées, les personnes détenues avant jugement peuvent, sous le contrôle du personnel pénitentiaire, effectuer des appels téléphoniques, en principe à raison d'un par semaine. Les appels téléphoniques des personnes détenues avant jugement à leurs avocats ne sont pas soumis à autorisation (al. 2). Les appels s'effectuent durant les heures fixées par la direction de chaque établissement (al. 3). Les conversations sont enregistrées et peuvent être contrôlées (al. 6).</w:t>
      </w:r>
    </w:p>
    <w:p>
      <w:r>
        <w:rPr>
          <w:b/>
        </w:rPr>
        <w:t>E. 10</w:t>
      </w:r>
    </w:p>
    <w:p>
      <w:r>
        <w:t>fr. 80, plus la TVA, par 42 fr. 40, soit à 594 fr. au total en chiffres arrondis, seront laissés à la charge de l’Etat (art. 428 al. 4 CPP). Par ces motifs, la Chambre des recours pénale prononce : I. Le recours est admis. II. L’ordonnance du 24 novembre 2022 est annulée. III. Le dossier de la cause est renvoyé au Ministère public de l’arrondissement de Lausanne pour qu’il procède dans le sens des considérants. IV. L’indemnité allouée au défenseur d’office de V.M.________ est fixée à 594 fr. (cinq cent nonante-quatre francs). V. Les frais d’arrêt, par 1’210 fr. (mille deux cent dix francs), ainsi que l’indemnité allouée au défenseur d’office de V.M.________, par 594 fr. (cinq cent nonante-quatre francs), sont laissés à la charge de l’Etat. VI. L’arrêt est exécutoire. La présidente :               La greffière : Du Le présent arrêt, dont la rédaction a été approuvée à huis clos, est notifié, par l'envoi d'une copie complète, à : - Me Laurent Fischer, avocat (pour V.M.________),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