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 vom 31. Dezember 2021</w:t>
      </w:r>
    </w:p>
    <w:p>
      <w:r>
        <w:t>VD Tribunal cantonal, 2021-12-31, FR</w:t>
      </w:r>
    </w:p>
    <w:p>
      <w:r>
        <w:rPr>
          <w:b/>
        </w:rPr>
        <w:t xml:space="preserve">Quelle: </w:t>
      </w:r>
      <w:r>
        <w:t>https://mcp.opencaselaw.ch/entscheid/vd_findinfo_D_cision___2022___1</w:t>
      </w:r>
    </w:p>
    <w:p>
      <w:r>
        <w:t>FR: VD_FINDINFO Décision / 2022 / 1 du 31 décembre 2021</w:t>
      </w:r>
    </w:p>
    <w:p>
      <w:r>
        <w:t>IT: VD_FINDINFO Décision / 2022 / 1 del 31 dicembre 2021</w:t>
      </w:r>
    </w:p>
    <w:p>
      <w:pPr>
        <w:pStyle w:val="Heading2"/>
      </w:pPr>
      <w:r>
        <w:t>Regeste</w:t>
      </w:r>
    </w:p>
    <w:p>
      <w:r>
        <w:t>EXÉCUTION ANTICIPÉE DES PEINES ET DES MESURES, RISQUE DE FUITE | 236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(Stephenson/Thiriet, in : Niggli/Heer/Wiprächtiger [éd.], Basler Kommentar, Schweizerische Strafprozessordnung, Jugendstrafprozessordnung,</w:t>
      </w:r>
    </w:p>
    <w:p>
      <w:r>
        <w:rPr>
          <w:b/>
        </w:rPr>
        <w:t>E. 1.2</w:t>
      </w:r>
    </w:p>
    <w:p>
      <w:r>
        <w:t>En l’espèce, interjeté en temps utile auprès de l’autorité compétente par le prévenu qui a qualité pour recourir (art. 382 al. 1 CPP) et dans les formes prescrites (art. 385 al. 1 CPP), le recours est recevable.</w:t>
      </w:r>
    </w:p>
    <w:p>
      <w:r>
        <w:rPr>
          <w:b/>
        </w:rPr>
        <w:t>E. 2</w:t>
      </w:r>
    </w:p>
    <w:p>
      <w:r>
        <w:t>e éd., Bâle 2014, n. 10 ad art. 393 StPO ; Hug, in : Donatsch/Hansjakob/Lieber [éd.], Kommentar zur Schweizerischen Strafprozessordnung, 2 e éd., 2014, n. 17 ad art. 236 StPO ; CREP 10 septembre 2021/840 consid. 1 ; CREP 26 janvier 2021/74 consid. 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2.1</w:t>
      </w:r>
    </w:p>
    <w:p>
      <w:r>
        <w:t>Invoquant une violation de l’art. 236 CPP, L.________ fait valoir que l’expert préconise un traitement des addictions à la forme de l’art. 60 CP et qu’il est vraisemblable que cette mesure sera prononcée par l’autorité de jugement. Il précise que la procédure touche à sa fin et qu’il s’est montré collaborant durant l’enquête. Il conteste par ailleurs tout risque de fuite dès lors qu’il n’a aucun intérêt à retourner en France puisqu’il serait immédiatement « interpellé par la justice française », tout en soulignant avoir proposé au Ministère public de déposer sa carte d’identité et son permis de conduire pour pallier ce risque. En outre, il relève qu’en dépit de leur caractère plus ouvert, les établissements proposés par l’expert offrent un cadre strict et surveillé, qu’il a la « volonté marquée et sincère de se rétablir » et qu’il a déjà bénéficié par le passé et sur un mode volontaire d’un suivi psychologique « ayant débouché sur des résultats tout à fait satisfaisants » de sorte que ses capacités à s’investir dans un traitement, sans qu’on puisse craindre une fuite de sa part, ne sauraient être mises en doute. S’agissant du risque de récidive, le recourant relève que son casier judiciaire suisse est vierge, que ses multiples infractions étaient motivées par sa consommation excessive de substances illicites et qu’une prise en charge thérapeutique réduirait de toute évidence ce risque. Il explique avoir désormais pris conscience de sa pathologie et de la nécessité de se soigner et fait valoir un bon comportement en détention, ainsi qu’un repentir sincère. Enfin, le recourant soutient qu’une place serait disponible au sein de la Fondation Les Oliviers et qu’il serait disproportionné d’attendre le jugement qui n’aura pas lieu avant plusieurs mois.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d'une peine ou d’une mesure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Ainsi, la poursuite de la détention sous la forme de l’art. 236 CPP présuppose tout d'abord l'existence d'un des motifs de détention provisoire prévus à l'art. 221 al. 1 let. a, b ou c CPP et sa durée doit respecter le principe de proportionnalité (TF 1B_127/2017 du 20 avril 2017 consid. 2.1 et les références citées). L'art. 236 al. 1 in fine CPP suppose que le « stade de la procédure » concernée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 27 août 2019 consid. 2.1 et la référence citée). L’exécution anticipée de la mesure a été introduit au niveau fédéral « afin que la durée de l’instruction puisse être judicieusement mise à profit, que les bonnes dispositions à l’égard de la thérapie ne soient pas annihilées par une longue détention préventive et que l’on dispose, au moment du jugement, d’expériences concrètes avec une thérapie déterminée » (FF 1999 1880). Elle vise particulièrement les cas de dépendance à la drogue et suppose d'une part le consentement de l'intéressé et d'autre part une probabilité suffisante qu'une mesure déterminée soit ordonnée par le juge du fond. De plus, l'exécution anticipée ne doit pas nécessairement être autorisée sur la base d'une expertise, faute de quoi toute exécution anticipée serait impossible au stade de l'instruction, tant que l'expert ne s'est pas prononcé. L'un des buts de l'exécution anticipée est précisément de donner au juge du fond des indications sur le traitement adéquat (ATF 136 IV 65 consid. 2.2, JdT 2011 IV 209).</w:t>
      </w:r>
    </w:p>
    <w:p>
      <w:r>
        <w:rPr>
          <w:b/>
        </w:rPr>
        <w:t>E. 2.3</w:t>
      </w:r>
    </w:p>
    <w:p>
      <w:r>
        <w:t>En l’espèce, on peut admettre, à l’instar de la procureure, qu’au vu des conclusions de l’expertise psychiatrique, il existe une probabilité suffisante qu’un traitement institutionnel au sens de l’art. 60 CP sera ordonné par le juge du fond et constater que le recourant consent à l’instauration d’une telle mesure. Toutefois, comme le relève le Ministère public, l’instruction n’est pas encore terminée puisque des auditions doivent encore avoir lieu dans le courant du mois de janvier 2022, avant que le prévenu soit mis en accusation. Il s’agit donc de garantir la présence du recourant tant pour la suite de l’instruction qu’aux débats de première instance. Cela étant, il est notoire qu’aucun des établissements évoqués par l’expert ou l’Office d’exécution des peines n’est en mesure d’assurer que L.________ reste à disposition de la justice, respectivement d’empêcher qu’il prenne la fuite une fois qu’il y aura été admis. Or, le risque qu’il cherche à se soustraire aux autorités suisses est en l’occurrence particulièrement élevé. Le recourant est en effet de nationalité française. Lors de son arrestation, il était domicilié en France où il a toujours vécu. Il avait un travail ainsi qu’une compagne. Son fils de 12 ans vit également dans ce pays (PV aud. 8, R. 3). En d’autres termes, toutes les attaches du recourant se trouvent dans son pays d’origine. De plus, contrairement à ce que soutient la défense, on ne voit pas à quel risque il s’exposerait en retournant dans ce pays. En effet, lors de son audition par la police du 26 février 2021, le recourant a indiqué que s’il était certes sous contrôle judiciaire en France au moment de son arrestation, il avait néanmoins le droit de se rendre en Suisse pour des motifs professionnels et que son agent de probation était au courant de ses venues dans notre pays (PV aud. 8, R. 3, p. 2). Le recourant est par ailleurs conscient qu’au vu de la quantité pléthorique des infractions qu’il aurait commises sur le sol helvétique, il s’expose à une lourde condamnation. Il existe dès lors un risque concret et sérieux qu’il cherche à échapper à la justice suisse en s’enfuyant en France, pays qui n’extrade pas ses ressortissants. On rappellera par ailleurs que le dépôt des papiers d’identité - proposé par le recourant - n’est pas de nature à prévenir un départ à l’étranger ou une entrée dans la clandestinité, mais uniquement à le constater a posteriori (TF 1B_158/2021 du 20 avril 2021, consid. 3.5). Le risque que le recourant s’enfuie est d’ailleurs d’autant plus élevé qu’en dépit des bonnes intentions qu’il affiche, il ne semble pas encore prêt à réellement s’investir dans un traitement thérapeutique. Il ressort en effet du rapport d’expertise psychiatrique du 10 octobre 2021 que la demande d’admission qu’il a formulée auprès de la Fondation Bartimée a jusqu’à présent été rejetée par les responsables de cette institution, qui ont estimé que l’intéressé se trouvait encore au stade de « précontemplation », c’est-à-dire qu’il n’avait pas véritablement pris conscience de sa problématique addictive autant en termes de consommation de substances que de répétition délictuelle. L’expert relève également que si le souhait exprimé par le recourant de traiter ses addictions apparaît authentique, il est toutefois à craindre qu’il ne résiste pas à l’épreuve de la réalité une fois sorti de prison, comme cela a déjà été le cas à de nombreuses reprises. L’expert souligne en particulier que si le recourant fait assaut de bonnes résolutions et met en avant le changement survenu pendant sa détention et son désir de poursuivre ce changement pour se réhabiliter, il est toutefois encore bien loin d’ébaucher une véritable démarche introspective et n’a pas vraiment de représentation autre qu’intellectuelle de ce que pourrait véritablement signifier une démarche thérapeutique impliquant une modification de son environnement, de son mode de vie et une acceptation de ce qu’implique une alliance thérapeutique sur le long terme (cf. P. 90, p. 11). En définitive, il apparaît donc que le placement du recourant dans un établissement d’exécution des mesures n’est pas compatible avec le risque de fuite considérable qu’il présente. Par surabondance, la Chambre de céans relèvera encore qu’en cas de fuite, la récidive serait alors programmée. Il ressort en effet du dossier que le recourant est un multirécidiviste endurci, totalement incapable de gérer ses addictions. Il suffit pour s’en convaincre de parcourir non pas son casier judiciaire suisse - qui est effectivement vierge comme la défense croit utile de le relever - mais son casier judiciaire français qui ne comporte pas moins de 27 condamnations, parfois à des peines privatives de liberté fermes, sans qu’aucune d’entre elles n’ait manifestement suffit à le dissuader de récidiver. Au vu de ce qui précède, il y a lieu de constater que l’exécution anticipée de la mesure n’est pas compatible avec la nécessité de garantir la présence du prévenu pour la suite de la procédure pas plus qu’avec la nécessité d’éviter la survenance de nouvelles infractions. C’est donc à juste titre qu’elle a été refusée par la procureure. Enfin, on ne voit pas en quoi ce refus serait disproportionné dans la mesure où il repose sur l’existence d’un risque de fuite sérieux et avéré.</w:t>
      </w:r>
    </w:p>
    <w:p>
      <w:r>
        <w:rPr>
          <w:b/>
        </w:rPr>
        <w:t>E. 3</w:t>
      </w:r>
    </w:p>
    <w:p>
      <w:r>
        <w:t>Au vu de ce qui précède, le recours, manifestement mal fondé, doit être rejeté sans échange d’écritures (art. 390 al. 2 CPP) et l’ordonnance entreprise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440 fr. sur la base d’une durée d’activité nécessaire d’avocat-stagiaire estimée à 4 heures au tarif horaire de 110 fr., auxquels il convient d’ajouter des débours forfaitaires à concurrence de 2 % (art. 3bis al. 1 RAJ [Règlement sur l’assistance judiciaire en matière civile du 7 décembre 2010 ; BLV 211.02.3], applicable par renvoi de l’art. 26b TFIP), par 8 fr. 80, et la TVA, par 34 fr. 60, soit à 484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16 décembre 2021 est confirmée. III. L’indemnité allouée au défenseur d’office de L.________ est fixée à 484 fr. (quatre cent huitante-quatre francs). IV. Les frais d’arrêt, par 1'210 fr. (mille deux cent dix francs), ainsi que l’indemnité due au défenseur d’office de L.________, par 484 fr. (quatre cent huitante-quatre francs), sont mis à la charge de ce dernier. V. Le remboursement à l’Etat de l’indemnité allouée au chiffre III ci-dessus ne sera exigible que pour autant que la situation financière de L.________ le permette. VI. L’arrêt est exécutoire. Le président :               Le greffier : Du Le présent arrêt, dont la rédaction a été approuvée à huis clos, est notifié, par l'envoi d'une copie complète, à : - Me Samuel Pahud, avocat (pour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