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994 vom 13. September 2021</w:t>
      </w:r>
    </w:p>
    <w:p>
      <w:r>
        <w:t>VD Tribunal cantonal, 2021-09-13, FR</w:t>
      </w:r>
    </w:p>
    <w:p>
      <w:r>
        <w:rPr>
          <w:b/>
        </w:rPr>
        <w:t xml:space="preserve">Quelle: </w:t>
      </w:r>
      <w:r>
        <w:t>https://mcp.opencaselaw.ch/entscheid/vd_findinfo_D_cision___2021___994</w:t>
      </w:r>
    </w:p>
    <w:p>
      <w:r>
        <w:t>FR: VD_FINDINFO Décision / 2021 / 994 du 13 septembre 2021</w:t>
      </w:r>
    </w:p>
    <w:p>
      <w:r>
        <w:t>IT: VD_FINDINFO Décision / 2021 / 994 del 13 settembre 2021</w:t>
      </w:r>
    </w:p>
    <w:p>
      <w:pPr>
        <w:pStyle w:val="Heading2"/>
      </w:pPr>
      <w:r>
        <w:t>Regeste</w:t>
      </w:r>
    </w:p>
    <w:p>
      <w:r>
        <w:t>OPPOSITION{PROCÉDURE}, ORDONNANCE PÉNALE, REJET DE LA DEMANDE, DÉFAUT{CONTUMACE}, RETRAIT{VOIE DE DROIT} | 205 CPP (CH), 355 al. 2 CPP (CH)</w:t>
      </w:r>
    </w:p>
    <w:p>
      <w:pPr>
        <w:pStyle w:val="Heading2"/>
      </w:pPr>
      <w:r>
        <w:t>Erwägungen</w:t>
      </w:r>
    </w:p>
    <w:p>
      <w:r>
        <w:rPr>
          <w:b/>
        </w:rPr>
        <w:t>E. 1.1</w:t>
      </w:r>
    </w:p>
    <w:p>
      <w:r>
        <w:t>La décision par laquelle le Ministère public prend acte du retrait de l’opposition et déclare l’ordonnance pénale exécutoire est susceptible de recours selon les art. 393 ss CPP ([Code de procédure pénale suisse du 5 octobre 2007 ; RS 312.0] ; Riklin, in : Niggli/Heer/Wiprächtiger [éd.], Basler Kommentar, Schweize-rische Strafprozessordnung, 2 e éd., Bâle 2014, n. 5 ad art. 355 CPP ; Schwarzenegger, in : Donatsch/Hansjakob/Lieber [éd.], Kommentar zur Schweizeri­schen Strafprozessordnung, 2 e éd., Zurich/Bâle/Genève 2014, n. 2 ad art. 355 CPP ; CREP 13 juin 2019/485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En l'espèce, interjeté dans les formes et délais légaux, par le prévenu qui a qualité pour recourir (art. 382 al. 1 CPP), le recours de F.________ est recevable.</w:t>
      </w:r>
    </w:p>
    <w:p>
      <w:r>
        <w:rPr>
          <w:b/>
        </w:rPr>
        <w:t>E. 2</w:t>
      </w:r>
    </w:p>
    <w:p>
      <w:r>
        <w:t>était retranscrit en caractères gras et souligné. Dans ces conditions, le recourant ne pouvait pas ignorer qu’il était tenu de donner suite au mandat de comparution du Ministère public, sous peine de voir son opposition considérée comme retirée. Par courriel du 6 août 2021, le recourant a sollicité le renvoi de l’audience sans exposer les motifs de son empêchement ni produire le moindre justificatif (P. 11). Par courrier et par courriel du 9 août 2021, le procureur lui a répondu de manière circonstanciée et l’a informé que l’audience du 11 août 2021 était maintenue, observant qu’il n’invoquait aucun motif à l’appui de sa demande et ne produisait aucun justificatif (P. 12). Le recourant a fait défaut à l’audience du 11 août 2021 du Ministère public. Le 11 août 2021, l’épouse du recourant a contacté le greffe du Ministère public par téléphone après l’audience pour l’informer que le recourant n’avait pas pu se présenter à l’audience en raison d’un problème de garde de leur enfant (PV op. p. 3). Toutefois, le recourant ne pouvait pas déduire de sa seule demande de report d’audience qu’il était dispensé de comparaître, mais il devait s’en assurer auprès du Ministère public. Il n’a produit aucun justificatif après l’audience du 11 août 2021, ni même à l’appui de son recours. Partant, le recourant n’a pas établi qu’il était empêché de comparaître à l’audience en cause et il y a lieu de considérer qu’il y a fait défaut sans excuse valable. C’est donc à juste titre que le Ministère public a constaté le défaut de F.________ à son audience et que son opposition a été considérée comme retirée.</w:t>
      </w:r>
    </w:p>
    <w:p>
      <w:r>
        <w:rPr>
          <w:b/>
        </w:rPr>
        <w:t>E. 2.1</w:t>
      </w:r>
    </w:p>
    <w:p>
      <w:r>
        <w:t>Le recourant fait valoir qu’il avait demandé le report de l’audience à laquelle il ne s’est pas présenté. Il explique qu’il n’a pas pu se rendre à l’audience du 11 août 2021 car il n’avait pas trouvé de solution de garde pour son enfant en bas âge et renvoie à son courriel du 6 août 2021.</w:t>
      </w:r>
    </w:p>
    <w:p>
      <w:r>
        <w:rPr>
          <w:b/>
        </w:rPr>
        <w:t>E. 2.2.1</w:t>
      </w:r>
    </w:p>
    <w:p>
      <w:r>
        <w:t>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En matière d'ordonnance pénale, le défaut de celui qui a formé opposition est réglé de manière spécifique par l'art. 355 al. 2 CPP, qui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 ATF 146 IV 30 consid. 1.1.1 ; ATF 146 IV 286 consid. 2.2 ; ATF 142 IV 158 consid. 3.1 et 3.4 ; ATF 140 IV 82 consid. 2.3 et 2.6).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cf. également ATF 146 IV 286 consid. 2.2 ; ATF 142 IV 158 consid. 3.1 et 3.3 ; ATF 140 IV 82 consid. 2.3 et 2.5 ; TF 6B_1113/2020 du 25 mars 2021 consid. 3.1). Demeurent réservés les cas d'abus de droit (ATF 146 IV 30 consid. 1.1.1 ; ATF 142 IV 158 consid. 3.4 ; cf. ATF 140 IV 82 consid. 2.7 ; TF 6B_1113/2020 du 25 mars 2021, précité, ibid.). La jurisprudence a précisé que l'art. 355 al. 2 CPP ne saurait être interprété de sorte à permettre au condamné de choisir la manière dont sa cause sera traitée. Ce dernier ne peut ainsi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(TF 6B_207/2019 consid. 3.1 ; TF 6B_1244/2017 du 29 mai 2018 consid. 2.3).</w:t>
      </w:r>
    </w:p>
    <w:p>
      <w:r>
        <w:rPr>
          <w:b/>
        </w:rPr>
        <w:t>E. 2.2.2</w:t>
      </w:r>
    </w:p>
    <w:p>
      <w:r>
        <w:t>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RDAF 2002 I 295 ; TF 6B_1297/2018 du 6 février 2019 consid. 1.1 et les réf.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Jeanneret et al. [édit.], Commentaire romand, Code de procédure pénale suisse, 2 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w:t>
      </w:r>
    </w:p>
    <w:p>
      <w:r>
        <w:rPr>
          <w:b/>
        </w:rPr>
        <w:t>E. 2.3</w:t>
      </w:r>
    </w:p>
    <w:p>
      <w:r>
        <w:t>En l’espèce, F.________ a fait opposition à l’ordonnance pénale du 15 juin 2021. Bien que régulièrement convoqué à l’audience du 11 août 2021 du Ministère public par mandat de comparution envoyé sous pli recommandé du 28 juin 2021, ce qui n’est pas contesté, le recourant ne s’est pas présenté à cette audience et explique son absence par un problème de garde d’enfant. Or, la citation à comparaître attirait spécialement l’atten­tion du recourant sur les conséquences de son éventuel défaut, puisque l’art. 355 CPP était reproduit in extenso au pied du mandat et l’alinéa</w:t>
      </w:r>
    </w:p>
    <w:p>
      <w:r>
        <w:rPr>
          <w:b/>
        </w:rPr>
        <w:t>E. 3</w:t>
      </w:r>
    </w:p>
    <w:p>
      <w:r>
        <w:t>Il résulte de ce qui précède que le recours interjeté par F.________,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29 septembre 2010 ; BLV 312.03.1]), seront mis à la charge du recourant, qui succombe (art. 428 al. 1, 1 re phr., CPP). Par ces motifs, la Chambre des recours pénale prononce : I. Le recours est rejeté. II. L’ordonnance du 20 août 2021 est confirmée. III. Les frais d’arrêt, par 770 fr. (sept cent septante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 le Procureur du Ministère public central, division affaires spéciales, - Service de la population, division étrangers (F.________, né le [...].1982),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