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991 vom 21. September 2021</w:t>
      </w:r>
    </w:p>
    <w:p>
      <w:r>
        <w:t>VD Tribunal cantonal, 2021-09-21, FR</w:t>
      </w:r>
    </w:p>
    <w:p>
      <w:r>
        <w:rPr>
          <w:b/>
        </w:rPr>
        <w:t xml:space="preserve">Quelle: </w:t>
      </w:r>
      <w:r>
        <w:t>https://mcp.opencaselaw.ch/entscheid/vd_findinfo_D_cision___2021___991</w:t>
      </w:r>
    </w:p>
    <w:p>
      <w:r>
        <w:t>FR: VD_FINDINFO Décision / 2021 / 991 du 21 septembre 2021</w:t>
      </w:r>
    </w:p>
    <w:p>
      <w:r>
        <w:t>IT: VD_FINDINFO Décision / 2021 / 991 del 21 settembre 2021</w:t>
      </w:r>
    </w:p>
    <w:p>
      <w:pPr>
        <w:pStyle w:val="Heading2"/>
      </w:pPr>
      <w:r>
        <w:t>Regeste</w:t>
      </w:r>
    </w:p>
    <w:p>
      <w:r>
        <w:t>NON-LIEU, OBTENTION FRAUDULEUSE D'UNE PRESTATION, CFF, ADMISSION DE LA DEMANDE | 150 CP, 310 CPP (CH)</w:t>
      </w:r>
    </w:p>
    <w:p>
      <w:pPr>
        <w:pStyle w:val="Heading2"/>
      </w:pPr>
      <w:r>
        <w:t>Erwägungen</w:t>
      </w:r>
    </w:p>
    <w:p>
      <w:r>
        <w:rPr>
          <w:b/>
        </w:rPr>
        <w:t>E. 1.1</w:t>
      </w:r>
    </w:p>
    <w:p>
      <w:r>
        <w:t>et les références citées).</w:t>
      </w:r>
    </w:p>
    <w:p>
      <w:r>
        <w:rPr>
          <w:b/>
        </w:rPr>
        <w:t>E. 1.2</w:t>
      </w:r>
    </w:p>
    <w:p>
      <w:r>
        <w:t>Selon l’art. 104 al. 1 CPP, ont la qualité de partie le prévenu (let. a), la partie plaignante (let. b) et le ministère public, lors des débats ou dans la procédure de recours (let. c). Selon l'art. 118 al. 1 CPP, on entend par partie plaignante (cf. art. 104 al. 1 let. b CPP, précité)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2.4.1, 2.4.2 et 2.4.7, JdT 2020 IV 65).</w:t>
      </w:r>
    </w:p>
    <w:p>
      <w:r>
        <w:rPr>
          <w:b/>
        </w:rPr>
        <w:t>E. 1.3</w:t>
      </w:r>
    </w:p>
    <w:p>
      <w:r>
        <w:t>En l’espèce, s’agissant de la qualité pour recourir des H.________, le recours ne dit rien sur le bien juridiquement protégé par les dispositions légales invoquées, soit les art. 150 et 251 CP (Code pénal suisse du 21 décembre 1937 ; RS 311.0). L’obtention frauduleuse d’une prestation, au sens de l’art. 150 CP, vise l’auteur qui a, sans bourse délier, frauduleusement obtenu une prestation qu’il savait ne devoir être fournie que contre paiement, notamment celui qui aura utilisé un moyen de transport public. Il s’ensuit que le bien juridiquement protégé par cette disposition est le patrimoine de l’entreprise de transports publics. En outre, lorsque le faux dans les titres est un élément d’une infraction contre le patrimoine, l’art. 251 CP ne protège pas seulement la loyauté commerciale mais également l’intérêt de la personne dont le patrimoine est menacé ou atteint (ATF 140 IV 155 consid. 3.3.3 ; ATF 119 Ia 342 consid. 2b ; TF 6B_1185/2019 du 13 janvier 2020 consid. 2.2). Il s’ensuit que, sous l’angle de ces deux dispositions, les H.________ ont bien la qualité de lésé au sens de l’art. 115 al. 1 CPP, et donc la qualité pour recourir, par leurs représentants, au sens de l’art. 382 al. 1 CPP. Ainsi, interjeté en temps utile auprès de l’autorité compétente et dans les formes prescrites (art. 385 al. 1 CPP), le recours, dont le signataire a le pouvoir de représentation selon la procuration produite (P. 8/2), est recevable.</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w:t>
      </w:r>
    </w:p>
    <w:p>
      <w:r>
        <w:t>Se rend coupable de faux dans les titres au sens de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150 CP dispose pour sa part que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Dans ce cas, la fraude, qui est un élément constitutif de cette infraction, consiste à se soustraire aux mesures humaines ou techniques mises en place pour empêcher l’obtention illicite de la prestation (ATF 117 IV 449, JdT 1993 IV 108 ; Dupuis et al., Petit commentaire, Code pénal, 2 e éd., Bâle 2017, n. 10 ad art. 150 CP et les références citées). En revanche, si la fraude consiste dans l’usage d’un billet falsifié, c’est l’escroquerie « ordinaire » de l’art. 146 CP qui entre en considération (Dupuis et al., op. cit, n. 13 ad art. 150 CP). Si l’acte ne visait qu’un élément patrimonial de faible valeur ou un dommage de moindre importance, l’auteur sera, sur plainte, puni d’une amende (art. 172 ter al. 1 CP). Selon l’art. 57 al. 3 LTV (loi sur le transport de voyageurs du 20 mars 2009 ; RS 745.1) , est puni, sur plainte, d’une amende quiconque intentionnellement ou par négligence, fait usage d’un véhicule sans détenir de titre de transport valable ou sans y être autrement autorisé.</w:t>
      </w:r>
    </w:p>
    <w:p>
      <w:r>
        <w:rPr>
          <w:b/>
        </w:rPr>
        <w:t>E. 2.3</w:t>
      </w:r>
    </w:p>
    <w:p>
      <w:r>
        <w:t>En l’occurrence, le premier juge a considéré qu’il convenait de retenir, au bénéfice d’un léger doute, la version des faits d’A.________, qui avait déclaré avoir, dans un premier temps, effacé la date qu’elle avait préalablement inscrite au stylo sur le billet litigieux car elle ne l’avait finalement pas utilisé à la date prévue, puis avoir, la semaine suivante, le 21 avril 2021, utilisé ce même billet après deux oblitérations car la date de la première oblitération était « à moitié sur l’inscription » (PV aud. 1, R. 6). Sur la base de ces explications, il a été retenu que l’élément subjectif des infractions susceptibles d’entrer en ligne de compte – contravention à la LTV et obtention frauduleuse d’une prestation d’importance mineure (art. 172ter ad 150 CP) – n’était pas réalisé, de sorte qu’il n’y avait pas lieu d’entrer en matière sur la plainte. Les H.________ contestent cette appréciation, invoquant d’abord une constatation incomplète et erronée des faits, d’une part au sujet de la date à laquelle A.________ a voyagé qui ne serait pas le 21 avril mais le 20 avril 2021, et d’autre part sur la nature et l’ampleur de la falsification du billet. Sur ce dernier point, ils font valoir que la prévenue a modifié à plusieurs reprises les dates, à savoir les jours et les mois, et non une seule fois comme celle-ci l’a prétendu. Ils soutiennent en outre que, le 20 avril 2021, le billet n’a pas été oblitéré deux fois de manière correcte. Ils en déduisent que la prévenue a agi de manière intentionnelle et que, partant, il n’est pas possible de considérer que, manifestement, l’élément subjectif n’est pas réalisé. Ils invoquent donc une violation de l’art. 310 al. 1 let. a CPP. Les arguments de la société recourante sont convaincants, tant au niveau factuel que juridique. En effet, le billet de train litigieux, produit au dossier, ainsi que l’analyse de celui-ci effectuée par le Service des contrefaçons et des fraudes des H.________ (P. 5, annexes), doivent être considérés comme déterminants, dès lors qu’ils apparaissent comme les seuls éléments tangibles à ce stade. Or, à l’observation du titre de transport utilisé par la prévenue et à la lecture de l’analyse de cette pièce, en particulier à la vision du test lumineux, il n’est en l’état pas exclu que le billet ait fait l’objet de plusieurs inscriptions manuscrites. Dans ces conditions, il subsistait un sérieux doute, qui empêchait la reddition d’une ordonnance de non-entrée en matière. Il appartiendra donc au premier juge d’ouvrir une instruction, d’entendre la prévenue et, le cas échéant, de mettre en œuvre des mesures d’instruction.</w:t>
      </w:r>
    </w:p>
    <w:p>
      <w:r>
        <w:rPr>
          <w:b/>
        </w:rPr>
        <w:t>E. 3</w:t>
      </w:r>
    </w:p>
    <w:p>
      <w:r>
        <w:t>Il s’ensuit que le recours doit être admis et l'ordonnance annulée. Le dossier de la cause doit ainsi être renvoyé à la Présidente du Tribunal des mineurs pour qu’elle ouvre une instruction pénale, dans le sens des considérants qui précèdent. Les frais de la procédure de recours, par 440 fr. (art. 20 al. 1 et 2 TFIP [tarif des frais de procédure et indemnités en matière pénale du 28 septembre 2010; RSV 312.03.1]), seront laissés à la charge de l’Etat (art. 428 al. 4 CPP). Non assistée d’un mandataire professionnel, la société recourante n’a pas droit à une indemnité de deuxième instance. Par ces motifs, la Chambre des recours pénale prononce : I. Le recours est admis. II. L’ordonnance du 16 août 2021 est annulée. III. Le dossier de la cause est renvoyé à la Présidente du Tribunal des mineurs pour qu’elle procède dans le sens des considérants. IV. Les frais d’arrêt, par 440 fr. (quatre cent quarante francs), sont laissés à la charge de l’Etat. V. L’arrêt est exécutoire. Le président :               Le greffier : Du Le présent arrêt, dont la rédaction a été approuvée à huis clos, est notifié, par l'envoi d'une copie complète, à : - H.________, - Mme A.________,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