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955 vom 1. November 2021</w:t>
      </w:r>
    </w:p>
    <w:p>
      <w:r>
        <w:t>VD Tribunal cantonal, 2021-11-01, FR</w:t>
      </w:r>
    </w:p>
    <w:p>
      <w:r>
        <w:rPr>
          <w:b/>
        </w:rPr>
        <w:t xml:space="preserve">Quelle: </w:t>
      </w:r>
      <w:r>
        <w:t>https://mcp.opencaselaw.ch/entscheid/vd_findinfo_D_cision___2021___955</w:t>
      </w:r>
    </w:p>
    <w:p>
      <w:r>
        <w:t>FR: VD_FINDINFO Décision / 2021 / 955 du 1 novembre 2021</w:t>
      </w:r>
    </w:p>
    <w:p>
      <w:r>
        <w:t>IT: VD_FINDINFO Décision / 2021 / 955 del 1 novembre 2021</w:t>
      </w:r>
    </w:p>
    <w:p>
      <w:pPr>
        <w:pStyle w:val="Heading2"/>
      </w:pPr>
      <w:r>
        <w:t>Regeste</w:t>
      </w:r>
    </w:p>
    <w:p>
      <w:r>
        <w:t>RISQUE DE FUITE, DÉTENTION PROVISOIRE | 221 al. 1 let. a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24 août 2021/764 consid. 1 ; CREP 24 janvier 2019/59 consid. 1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ne conteste pas, à juste titre, l’existence de soupçons suffisants. Il conteste en revanche l’existence d’un risque de fuite. A cet égard, il fait grief au Tribunal des mesures des contrainte de ne pas avoir pris en considération l’état de santé de son épouse, qui nécessiterait des soins hebdomadaires lorsqu’elle n’est pas hospitalisée. Vu la nature et la sévérité de ses troubles, qui ne pourraient être traités au Kosovo, il serait indispensable qu’il reste à ses côtés, si bien qu’il aurait un intérêt manifeste à rester en Suisse. Sur ce point, il se réfère au rapport médical établi le 14 septembre 2021 par la Dre [...] (cf. P. 219/2). Il estime également que sa situation financière serait péjorée s’il quittait le territoire helvétique dès lors qu’il ne pourrait plus subvenir à ses besoins vitaux, ni percevoir d’aide étatique. Enfin, il déclare disposer d’une promesse d’engagement de son club de boxe, établie en septembre dernier (cf. P. 219/3).</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 4.3 ; ATF 125 I 60 consid. 3a ; ATF 117 Ia 69 consid. 4a).</w:t>
      </w:r>
    </w:p>
    <w:p>
      <w:r>
        <w:rPr>
          <w:b/>
        </w:rPr>
        <w:t>E. 3.3</w:t>
      </w:r>
    </w:p>
    <w:p>
      <w:r>
        <w:t>En l’espèce, le recourant est un ressortissant du Kosovo, né en [...] et arrivé en Suisse en 2013, pour y rejoindre sa future femme qu’il a épousée l’année suivante. Il a obtenu son permis B en 2015. Il est actuellement sans emploi et bénéficie d’indemnités de l’assurance-chômage (PV audition police de B.________ du 17 février 2021, R. 5). Cela étant, force est de constater qu’il a vécu 52 ans dans son pays d’origine, avant de venir en Suisse, où il ne fait valoir aucune attache particulière. Plusieurs membres de sa famille se trouvent d’ailleurs au Kosovo, notamment un frère et deux enfants, âgés de 18 et 20 ans, issus d’un précédent mariage. Il contacte régulièrement ces derniers et les voit lors de ses séjours au pays, où il se rend deux fois par année, dont quatre semaines en été (PV aud. 14, ll. 373 ss). Ses attaches au Kosovo apparaissent dès lors particulièrement solides. Par ailleurs, sa situation sur le sol helvétique reste précaire puisqu’il ne travaille que de manière accessoire dans un club de boxe. Dans ces circonstances, et compte tenu de la peine importante à laquelle il s’expose au vu des nombreux cas reprochés, il est fortement à craindre que le recourant quitte la Suisse pour regagner son pays d’origine afin de se soustraire à la procédure pénale. Ce risque apparaît d’autant plus important que l’intéressé est susceptible d’expulsion obligatoire en raison des chefs d’accusation de vol qualifié et de vol par effraction (cf. art. 66a al. 1 let c et d CP) et qu’il pourrait dès lors être tenté d’anticiper son départ de Suisse. Enfin, le fait que, selon le rapport médical du 14 septembre 2021, son épouse soit suivie par le Centre des Toises depuis novembre 2018, qu’elle soit fréquemment hospitalisée en institutions psychiatriques et que l’incarcération de son mari ait aggravé son état est sans pertinence sur le risque de fuite retenu. D’ailleurs, si le recourant se souciait vraiment de son épouse, il n’aurait pas pris le risque de commettre des infractions et donc d’être placé en détention provisoire, alors qu’il la savait malade depuis au moins le mois de novembre 2018, date à laquelle elle a consulté le Centre des Toises.</w:t>
      </w:r>
    </w:p>
    <w:p>
      <w:r>
        <w:rPr>
          <w:b/>
        </w:rPr>
        <w:t>E. 4</w:t>
      </w:r>
    </w:p>
    <w:p>
      <w:r>
        <w:t>Les conditions de l’art. 221 al. 1 CPP étant alternatives (TF 1B_249/2011 du 7 juin 2011 consid. 2.4 ; CREP 28 décembre 2016/889), l’existence d’un risque de fuite dispense d’examiner si la détention provisoire s’impose également en raison d’un risque de réitération.</w:t>
      </w:r>
    </w:p>
    <w:p>
      <w:r>
        <w:rPr>
          <w:b/>
        </w:rPr>
        <w:t>E. 5.1</w:t>
      </w:r>
    </w:p>
    <w:p>
      <w:r>
        <w:t>Le recourant soutient subsidiairement que des mesures de substitution serait susceptibles de pallier le risque de fuite. Il propose ainsi de déposer ses documents d’identité et autres documents officiels et de se présenter régulièrement à la police.</w:t>
      </w:r>
    </w:p>
    <w:p>
      <w:r>
        <w:rPr>
          <w:b/>
        </w:rPr>
        <w:t>E. 5.2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et l'obligation de se présenter régulièrement à un service administratif (let. d).</w:t>
      </w:r>
    </w:p>
    <w:p>
      <w:r>
        <w:rPr>
          <w:b/>
        </w:rPr>
        <w:t>E. 5.3</w:t>
      </w:r>
    </w:p>
    <w:p>
      <w:r>
        <w:t>En l’espèce, les mesures de substitution proposées ne sont pas propres à pallier efficacement le risque de fuite. En effet, de jurisprudence constante, le dépôt de pièces d’identité ou l’obligation de se présenter régulièrement à un service administratif ne sont pas de nature à empêcher le recourant de quitter le territoire suisse pour un pays limitrophe ou de disparaître dans la clandestinité (TF 1B_158/2021 du 20 avril 2021 consid. 3.5 et les références citées ; TF 1B_347/2019 du 17 septembre 2019 consid. 4.3.1 ; TF 1B_362/2019 du 17 septembre 2019 consid. 3.3.1 et 3.3.2). Aucune autre mesure de substitution n’apparaît susceptible de prévenir valablement le risque retenu.</w:t>
      </w:r>
    </w:p>
    <w:p>
      <w:r>
        <w:rPr>
          <w:b/>
        </w:rPr>
        <w:t>E. 6</w:t>
      </w:r>
    </w:p>
    <w:p>
      <w:r>
        <w:t>Au vu de ce qui précède, le recours, manifestement mal fondé, doit être rejeté sans échange d'écritures (art. 390 al. 2 CPP) et l'ordonnance du</w:t>
      </w:r>
    </w:p>
    <w:p>
      <w:r>
        <w:rPr>
          <w:b/>
        </w:rPr>
        <w:t>E. 11</w:t>
      </w:r>
    </w:p>
    <w:p>
      <w:r>
        <w:t>octobre 2021 confirmée. Les frais de la procédure de recours, constitués en l'espèce de l'émolument d'arrêt, par 880 fr. (art. 20 al. 1 TFIP [Tarif des frais de procédure et indemnités en matière pénale du 28 septembre 2010 ; BLV 312.03.1]), et des frais imputables à la défense d'office (art. 422 al. 1 et 2 let. a CPP), fixés à 440 fr. (4 heures x 110 fr./h [tarif horaire d’avocat-stagiaire, qui a rédigé l’acte de recours]), auxquels il convient d’ajouter des débours forfaitaires à concurrence de 2 % (art. 3bis al. 1 RAJ [Règlement sur l’assistance judiciaire en matière civile du 7 décembre 2010 ; BLV 211.02.3], applicable par renvoi de l’art. 26b TFIP), par 8 fr. 80, et la TVA, par 34 fr. 55, soit à 484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11 octobre 2021 est confirmée. III. L’indemnité allouée au défenseur d’office de B.________ est fixée à 484 fr. (quatre cent huitante-quatre francs). IV. Les frais d’arrêt, par 880 fr. (huit cent huitante francs), ainsi que l’indemnité due au défenseur d’office de B.________, par 484 fr. (quatre cent huitante-quatre francs), sont mis à la charge de ce dernier. V. Le remboursement à l'Etat de l'indemnité allouée au chiffre III ci-dessus ne sera exigible que pour autant que la situation financière de B.________ le permette. VI. L’arrêt est exécutoire. Le président :               Le greffier : Du Le présent arrêt, dont la rédaction a été approuvée à huis clos, est notifié, par l'envoi d'une copie complète, à : - Me Habib Tabet, avocat (pour B.________),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