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932 vom 7. Oktober 2021</w:t>
      </w:r>
    </w:p>
    <w:p>
      <w:r>
        <w:t>VD Tribunal cantonal, 2021-10-07, FR</w:t>
      </w:r>
    </w:p>
    <w:p>
      <w:r>
        <w:rPr>
          <w:b/>
        </w:rPr>
        <w:t xml:space="preserve">Quelle: </w:t>
      </w:r>
      <w:r>
        <w:t>https://mcp.opencaselaw.ch/entscheid/vd_findinfo_D_cision___2021___932</w:t>
      </w:r>
    </w:p>
    <w:p>
      <w:r>
        <w:t>FR: VD_FINDINFO Décision / 2021 / 932 du 7 octobre 2021</w:t>
      </w:r>
    </w:p>
    <w:p>
      <w:r>
        <w:t>IT: VD_FINDINFO Décision / 2021 / 932 del 7 ottobre 2021</w:t>
      </w:r>
    </w:p>
    <w:p>
      <w:pPr>
        <w:pStyle w:val="Heading2"/>
      </w:pPr>
      <w:r>
        <w:t>Regeste</w:t>
      </w:r>
    </w:p>
    <w:p>
      <w:r>
        <w:t>DÉCISION D'IRRECEVABILITÉ, MOTIVATION DE LA DEMANDE | 136 CPP (CH), 385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 e éd., Bâle 2014 [ci-après : Basler Kommentar], n. 1a ad art. 385 StPO ; Pitteloud, Code de procédure pénale suisse, Commentaire à l’usage des praticiens, Zurich/St-Gall 2012, n. 1126 ; CREP 19 février 2021/163).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 Donatsch/Lieber/Summers/Wohlers [éd.], Zürcher Kommentar, Kommentar zur Schweizerischen Strafprozessordnung, 3 e éd. 2020, n. 14 ad art. 396 StPO et les références citées ; Calame, in : Jeanneret et al. [éd.], Commentaire romand, Code de procédure pénale suisse,</w:t>
      </w:r>
    </w:p>
    <w:p>
      <w:r>
        <w:rPr>
          <w:b/>
        </w:rPr>
        <w:t>E. 1.2.2</w:t>
      </w:r>
    </w:p>
    <w:p>
      <w:r>
        <w:t>L’art. 385 al. 2, 1 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w:t>
      </w:r>
    </w:p>
    <w:p>
      <w:r>
        <w:rPr>
          <w:b/>
        </w:rPr>
        <w:t>E. 1.3</w:t>
      </w:r>
    </w:p>
    <w:p>
      <w:r>
        <w:t>En l’espèce, le recourant revient – sur 43 pages – sur divers arguments qui ne font pas l’objet de l’ordonnance de non-entrée en matière du 26 mars 2021. Tous ces éléments sont irrecevables dans une procédure de recours. Pour le surplus, le recourant se contente de citer une série de normes légales ou constitutionnelles mais ne s’en prend pas de manière spécifique au raisonnement opéré par le Procureur. On ne discerne ainsi pas les points de la décision qui sont attaqués, pas plus que les motifs qui commanderaient une autre décision de sorte que le recours ne satisfait pas aux exigences de motivation de l'art. 385 al. 1 CPP. Un tel défaut de motivation ne saurait justifier qu'un délai supplémentaire soit fixé au recourant pour compléter son recours en application de l'art. 385 al. 2 CPP (cf. les arrêts précités sous consid. 1.2.2 supra ).</w:t>
      </w:r>
    </w:p>
    <w:p>
      <w:r>
        <w:rPr>
          <w:b/>
        </w:rPr>
        <w:t>E. 2</w:t>
      </w:r>
    </w:p>
    <w:p>
      <w:r>
        <w:t>Quant à la demande de récusation déposée le 6 avril 2021 par R.________ contre le Procureur Q.________ et contre le Ministère public de l’arrondissement de Lausanne « in corpore », elle repose sur le fait que l’ordonnance de non-entrée en matière du 9 mars 2021 aurait violé son « droit d’être entendu » et le « devoir de poursuivre », que l’ordonnance de non-entrée en matière du 26 mars 2021 constituerait un « acte de contrainte » et que le Ministère public de l’arrondissement de Lausanne se serait révélé partial dans la procédure relative à ses plaintes du 11 décembre 2020, 12 janvier 2021 et 14 janvier 2021. En l’espèce, ce faisant, le recourant ne développe aucun grief précis de suspecter le procureur qui a rendu l’ordonnance attaquée de partialité. Au surplus, en tant qu’il s’en prend au fait que ce procureur a déjà rendu une ordonnance de non-entrée en matière le 9 mars 2021, il est tardif. A fortiori R.________ ne développe-t ’il pas de griefs à l’égard des procureurs faisant partie – en corps – du Ministère public de l’arrondissement de Lausanne. Dans cette mesure, ses conclusions sont irrecevables. Au demeurant, aucun motif de récusation entrant dans ceux prévus par l’art. 56 CP n’est réalisé, ni même rendu plausible, En réalité, R.________ se contente de formuler – dans les mêmes termes – la même demande de récusation à l’encontre du procureur Q.________ en charge du dossier et du Ministère public de l’arrondissement de Lausanne que celle qu’il avait déposé le 22 mars 2021, au seul motif qu’il est en désaccord avec les décisions prises par ce magistrat. Or, comme relevé dans l’arrêt rendu alors (CREP 20 avril 2021/340 consid. 4.2), la garantie d’un juge impartial ne commande pas la récusation d’un juge au simple motif qu’il a, dans une procédure antérieure, voire dans la même affaire, tranché en défaveur du requérant (ATF 143 IV 69 consid. 3.1 ; ATF 141 IV 178 consid. 3.2.3). A nouveau, il convient de retenir que R.________ confond les procédures de recours et de récusation. Il s’ensuit que, même recevable, la requête de récusation devrait être rejetée comme téméraire, sans que les magistrats concernés doivent même être interpellés.</w:t>
      </w:r>
    </w:p>
    <w:p>
      <w:r>
        <w:rPr>
          <w:b/>
        </w:rPr>
        <w:t>E. 3</w:t>
      </w:r>
    </w:p>
    <w:p>
      <w:r>
        <w:t>Au vu de ce qui précède, le recours doit être déclaré irrecevable sans échange d’écritures (art. 390 al. 2 CPP), et la demande de récusation présentée le 6 avril 2021 être rejetée dans la mesure de sa faible recevabilité. L a partie plaignante n’a droit à l’assistance judiciaire que si elle est indigente et si l’action civile ne paraît pas manifestement vouée à l’échec (cf. art. 136 al. 1 CPP). Au vu du sort du recours et de la demande de récusation, la requête d’assistance judiciaire du recourant doit être rejetée ; au surplus, le recourant n’expose pas quelles seraient les prétentions civiles qu’il pourrait élever directement contre S.________. Les frais de la procédure de recours et de récusation, constitués en l’espèce du seul émolument d’arrêt (art. 422 al. 1 CPP), par 880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Le recours est irrecevable. II. La demande de récusation du Procureur Q.________ et du Ministère public de l’arrondissement de Lausanne en corps est rejetée dans la mesure où elle est recevable. III. La requête d’assistance judiciaire est rejetée. IV. Les frais d’arrêt, par 880 fr. (huit cent huitante francs), sont mis à la charge de R.________. V. L’arrêt est exécutoire. La vice-présidente : La greffière : Du Le présent arrêt, dont la rédaction a été approuvée à huis clos, est notifié, par l'envoi d'une copie complète, à : -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