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924 vom 12. Oktober 2021</w:t>
      </w:r>
    </w:p>
    <w:p>
      <w:r>
        <w:t>VD Tribunal cantonal, 2021-10-12, FR</w:t>
      </w:r>
    </w:p>
    <w:p>
      <w:r>
        <w:rPr>
          <w:b/>
        </w:rPr>
        <w:t xml:space="preserve">Quelle: </w:t>
      </w:r>
      <w:r>
        <w:t>https://mcp.opencaselaw.ch/entscheid/vd_findinfo_D_cision___2021___924</w:t>
      </w:r>
    </w:p>
    <w:p>
      <w:r>
        <w:t>FR: VD_FINDINFO Décision / 2021 / 924 du 12 octobre 2021</w:t>
      </w:r>
    </w:p>
    <w:p>
      <w:r>
        <w:t>IT: VD_FINDINFO Décision / 2021 / 924 del 12 ottobre 2021</w:t>
      </w:r>
    </w:p>
    <w:p>
      <w:pPr>
        <w:pStyle w:val="Heading2"/>
      </w:pPr>
      <w:r>
        <w:t>Regeste</w:t>
      </w:r>
    </w:p>
    <w:p>
      <w:r>
        <w:t>DÉTENTION PROVISOIRE, RISQUE DE COLLUSION, ENLÈVEMENT{INFRACTION}, RISQUE DE RÉCIDIVE, PROPORTIONNALITÉ, MESURE DE SUBSTITUTION À LA DÉTENTION | 221 al. 1 let. b CPP (CH),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auprès de l’autorité compétente (art. 13 al. 1 LVCPP [Loi d’introduction du Code de procédure pénale suisse du 19 mai 2009 ; BLV 312.01] ; art. 80 al. 1 let. c LOJV [Loi d’organisation judiciaire du 12 décembre 1979 ; BLV 173.01]) et dans les formes prescrites (art. 385 al. 1 CPP), le recours de V.________ est recevable.</w:t>
      </w:r>
    </w:p>
    <w:p>
      <w:r>
        <w:rPr>
          <w:b/>
        </w:rPr>
        <w:t>E. 2.1</w:t>
      </w:r>
    </w:p>
    <w:p>
      <w:r>
        <w:t>A teneur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Chaix, in : Jeanneret/Kuhn/Perrier Depeursinge [édit.], Commentaire romand, Code de procédure pénale suisse [ci-après : CR CPP], 2 e éd., Bâle 2019, nn. 4 ss ad art. 221 CPP).</w:t>
      </w:r>
    </w:p>
    <w:p>
      <w:r>
        <w:rPr>
          <w:b/>
        </w:rPr>
        <w:t>E. 2.2</w:t>
      </w:r>
    </w:p>
    <w:p>
      <w:r>
        <w:t>Dans son recours, V.________ ne revient pas sur l’existence de soupçons suffisants de commission d’un crime ou d’un délit. Bien qu’il ait contesté avoir eu la volonté de participer aux actes de contrainte reprochés, il admet qu’il était présent au moment des faits et qu’il a transporté contre leur gré, au volant du véhicule appartenant à son père, J.________, puis O.________ jusqu’en France. A l’instar du Tribunal des mesures de contrainte, on constate ainsi que, si l’enquête devra déterminer le degré d’implication exact du recourant, les indices de culpabilité à son égard sont à ce stade suffisamment sérieux pour justifier une mise en détention provisoire. La première condition de l’art. 221 al. 1 CPP se révèle dès lors remplie.</w:t>
      </w:r>
    </w:p>
    <w:p>
      <w:r>
        <w:rPr>
          <w:b/>
        </w:rPr>
        <w:t>E. 3.1</w:t>
      </w:r>
    </w:p>
    <w:p>
      <w:r>
        <w:t>Le recourant conteste l’existence d’un risque de collusion. Il fait valoir que les ravisseurs auraient désormais été clairement identifiés par O.________. En outre, sa version des faits correspondrait à celle de la victime, ce qui assoirait sa crédibilité. O.________ aurait notamment confirmé qu’ils ne se connaissaient pas et que le recourant ne connaissait d’ailleurs aucun des protagonistes de la cause. Ne disposant pas de l’identité ni des coordonnées téléphoniques des autres prévenus, et son téléphone portable ayant de toute façon été saisi, le recourant serait dans l’impossibilité de les contacter. En définitive, il n’aurait aucun moyen d’interférer avec l’enquête. Il relève enfin qu’il aurait fait part à plusieurs reprises de sa volonté de coopérer et de collaborer avec les enquêteurs.</w:t>
      </w:r>
    </w:p>
    <w:p>
      <w:r>
        <w:rPr>
          <w:b/>
        </w:rPr>
        <w:t>E. 3.2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JdT 2012 IV 79 ; ATF 132 I 21 consid. 3.2 et les réf. citées, JdT 2009 IV 52 ; TF 1B_358/2021 du 16 juillet 2021 consid. 4.2 ; TF 1B_577/2020 du 2 décembre 2020 consid. 3.1).</w:t>
      </w:r>
    </w:p>
    <w:p>
      <w:r>
        <w:rPr>
          <w:b/>
        </w:rPr>
        <w:t>E. 3.3</w:t>
      </w:r>
    </w:p>
    <w:p>
      <w:r>
        <w:t>En l’espèce, les arguments du recourant ne suffisent pas à écarter l’existence d’un risque de collusion, étant relevé que l’enquête n’en est qu’à ses prémices. Bien que le recourant soutienne s’être expliqué, il n’en demeure pas moins que le rôle de chaque protagoniste – dont l’un n’a par ailleurs pas encore été identifié – doit encore être défini et délimité, les circonstances entourant les faits et les mobiles de l’enlèvement n’étant pas clairs. Les deux protagonistes récemment identifiés, se trouvant en France, n’ont en particulier pas encore pu être interpellés et auditionnés. Au demeurant, contrairement à ce que prétend le recourant, le Tribunal de mesures de contrainte n’a de toute façon pas retenu un risque de collusion au seul motif qu’« une multitude d’intervenants n’ont pas encore été identifiés ». En effet, il résulte de l’ordonnance attaquée que des contrôles techniques et des investigations doivent encore être menés pour clarifier les liens entre les différentes parties et leur implication respective. A cet égard, le Ministère public a indiqué dans sa demande que des contrôles rétroactifs étaient en cours sur des téléphones portables, dont celui du recourant. Dans ces conditions, il convient d’éviter que le recourant puisse interférer avec les mesures en cours et entraver de quelque manière que ce soit la recherche de la vérité, par exemple en contactant les autres personnes liées à cette affaire. On relève que le Tribunal fédéral a récemment eu l’occasion de préciser que l a collaboration avec les autorités pénales – dont se prévaut le recourant – ne suffisait pas en soi à exclure tout risque de collusion, car il n’était pas impossible par ce biais de protéger d'autres personnes et/ou de tenter d'éviter des actes d'instruction complémentaires pouvant révéler d'autres infractions (TF 1B_358/2021 du 16 juillet 2021 consid. 4.3). Au vu de ce qui précède, le risque de collusion est avéré et le moyen du recourant doit être rejeté.</w:t>
      </w:r>
    </w:p>
    <w:p>
      <w:r>
        <w:rPr>
          <w:b/>
        </w:rPr>
        <w:t>E. 4.1</w:t>
      </w:r>
    </w:p>
    <w:p>
      <w:r>
        <w:t>Le recourant conteste également tout risque de réitération. Même s’il a été condamné pour brigandage en 2020, les faits de la présente cause seraient totalement différents. D’ailleurs, la victime aurait confirmé que son implication était moindre dans la présente affaire, et qu’il aurait été contraint et forcé de participer à l’entreprise délictueuse. Dès lors qu’il aurait des projets d’avenir et que l’épisode dont il aurait été le témoin aurait causé chez lui des sentiments de peur et de stress, il n’existerait pas de pronostic défavorable.</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1B_234/2021 du 21 mai 2021 consid.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146 IV 326 consid. 3.1 et les arrêts cités, JdT 2020 IV 264 ; TF 1B_150/2021 du 16 avril 2021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143 IV 9 consid. 2.6 et 2.7 ; TF 1B_234/2021 du 21 mai 2021 consid. 2.1).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 ATF 137 IV 84 consid. 3.2, JdT 2011 IV 325 ;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1B_234/2021 du 21 mai 2021 consid. 2.1).</w:t>
      </w:r>
    </w:p>
    <w:p>
      <w:r>
        <w:rPr>
          <w:b/>
        </w:rPr>
        <w:t>E. 4.3</w:t>
      </w:r>
    </w:p>
    <w:p>
      <w:r>
        <w:t>A ce stade de l’enquête, on ne saurait se contenter des explications du recourant. Ce dernier a été condamné en août 2020 – soit récemment – pour brigandage, soit une infraction qui, même si elle n’atteint pas le même bien juridiquement protégé que celui de la séquestration et de l’enlèvement reprochés en l’espèce, implique l’usage de la violence. La sanction prononcée, soit une peine pécuniaire de 180 jours-amende avec sursis durant 3 ans, n’a pas eu l’effet escompté, dès lors que le recourant est à nouveau impliqué dans une enquête pénale alors que le délai d’épreuve est encore en cours. Les faits aujourd’hui reprochés sont graves et dénotent même une évolution inquiétante dans le parcours délinquant, vu le jeune âge de l’intéressé. Le recourant n’a manifestement pas tiré l’enseignement souhaité de sa première condamnation. Ses projets d’avenir, selon lesquels il souhaite trouver un emploi et mener une vie stable auprès de sa famille et de sa compagne, ne reposent que sur ses paroles et n’ont pas d’ancrage concret dans la réalité. Dans de telles circonstances, le pronostic est défavorable. Le risque de réitération est donc bien réalisé. Partant, le moyen du recourant doit être rejeté.</w:t>
      </w:r>
    </w:p>
    <w:p>
      <w:r>
        <w:rPr>
          <w:b/>
        </w:rPr>
        <w:t>E. 5.1</w:t>
      </w:r>
    </w:p>
    <w:p>
      <w:r>
        <w:t>Le recourant plaide, à titre subsidiaire à sa libération pure et simple, le prononcé de mesures de substitution.</w:t>
      </w:r>
    </w:p>
    <w:p>
      <w:r>
        <w:rPr>
          <w:b/>
        </w:rPr>
        <w:t>E. 5.2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 ATF 133 I 270 consid. 2.2, JdT 2011 IV 3 ; Coquoz, in CR CPP, op. cit., n. 2 ad art. 237 CPP).</w:t>
      </w:r>
    </w:p>
    <w:p>
      <w:r>
        <w:rPr>
          <w:b/>
        </w:rPr>
        <w:t>E. 5.3</w:t>
      </w:r>
    </w:p>
    <w:p>
      <w:r>
        <w:t>En l’occurrence, c’est à juste titre que le Tribunal des mesures de contrainte a considéré qu’aucune mesure n’était de nature à pallier les risques invoqués. S’agissant du risque de collusion, le fait que le recourant soit privé de son téléphone portable ne l’empêcherait évidemment pas d’entrer en contact avec d’autres personnes impliquées dans l’enlèvement. Il en va de même d’une assignation à résidence, d’une surveillance électronique, d’une obligation de se présenter à un service administratif, d’une injonction de n’entrer en contact qu’avec les personnes que le Ministère public déterminerait ou d’une modification des mots de passe des comptes qu’il possède sur les réseaux sociaux. Quant au risque de réitération, le respect des mesures proposées dépendrait uniquement du bon vouloir du recourant, un contrôle ne pouvant être effectué qu’ a posteriori . Or, ce risque est à ce stade bien trop important pour permettre la mise en place de telles mesures de substitution. Enfin, l’arrêt cité par le recourant (TF 1B_48/2020 du 13 février 2020 consid. 2.4, faisant suite à l’arrêt CREP 17 décembre 2019/1014), ne lui est d’aucun secours, le Tribunal fédéral ne faisant qu’y rappeler les principes applicables en fonction des dangers retenus et n’admettant pas le prononcé de mesures de substitution dans un cas d’espèce, qui de toute façon était en l’occurrence différent de celui de la présente cause. On précisera en dernier lieu que la durée de la détention provisoire ordonnée, qui n’est pas critiquée par le recourant, doit être confirmée au regard de la peine encourue en cas de condamnation et des actes d’instruction qui doivent encore être effectués par le Ministère public.</w:t>
      </w:r>
    </w:p>
    <w:p>
      <w:r>
        <w:rPr>
          <w:b/>
        </w:rPr>
        <w:t>E. 6</w:t>
      </w:r>
    </w:p>
    <w:p>
      <w:r>
        <w:t>En définitive, le recours, manifestement mal fondé, doit être rejeté sans échange d’écritures (art. 390 al. 2 CPP) et l’ordonnance attaquée confirmée. Sur la base de la liste des opérations produite par le défenseur d’office du recourant, dont il n’y a pas lieu de s’écarter, c’est une indemnité de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10 fr. 80, et la TVA, par 42 fr. 40, soit de 594 fr. au total en chiffres arrondis, qu’il convient d’allouer à Me Daniel Trajilovic. Les frais de la procédure de recours, constitués de l’émolument d’arrêt, par 1'210 fr. (art. 20 al. 1 TFIP), et des frais imputables à la défense d’office (art. 422 al. 1 et 2 let. a CPP), par 594 fr.,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3 octobre 2021 est confirmée. III. L’indemnité allouée au défenseur d’office de V.________ est fixée à 594 fr. (cinq cent nonante-quatre francs). IV. Les frais d’arrêt, par 1'210 fr. (mille deux cent dix francs), ainsi que l’indemnité allouée au défenseur d’office de V.________, par 594 fr. (cinq cent nonante-quatre francs), sont mis à la charge de ce dernier.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Daniel Trajilovic, avocat (pour V.________), - Ministère public central, et communiqué à : - M. le Président du Tribunal des mesures de contrainte, - Mme la Procureure de l’arrondissement de La Côte, - M. O.________,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