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921 vom 1. Juli 2021</w:t>
      </w:r>
    </w:p>
    <w:p>
      <w:r>
        <w:t>VD Tribunal cantonal, 2021-07-01, FR</w:t>
      </w:r>
    </w:p>
    <w:p>
      <w:r>
        <w:rPr>
          <w:b/>
        </w:rPr>
        <w:t xml:space="preserve">Quelle: </w:t>
      </w:r>
      <w:r>
        <w:t>https://mcp.opencaselaw.ch/entscheid/vd_findinfo_D_cision___2021___921</w:t>
      </w:r>
    </w:p>
    <w:p>
      <w:r>
        <w:t>FR: VD_FINDINFO Décision / 2021 / 921 du 1 juillet 2021</w:t>
      </w:r>
    </w:p>
    <w:p>
      <w:r>
        <w:t>IT: VD_FINDINFO Décision / 2021 / 921 del 1 luglio 2021</w:t>
      </w:r>
    </w:p>
    <w:p>
      <w:pPr>
        <w:pStyle w:val="Heading2"/>
      </w:pPr>
      <w:r>
        <w:t>Regeste</w:t>
      </w:r>
    </w:p>
    <w:p>
      <w:r>
        <w:t>CLASSEMENT DE LA PROCÉDURE, PRESCRIPTION, VIOLATION DE L'OBLIGATION DE TENIR UNE COMPTABILITÉ | 109 CP, 325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prescrites (art. 385 al. 1 CPP), le recours de E.________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3.1</w:t>
      </w:r>
    </w:p>
    <w:p>
      <w:r>
        <w:t>Le recourant soutient que dans la mesure où les bilans d’une société devraient être établis dans les six mois suivant la clôture de l’exercice, l’infraction réprimée par l’art. 325 CP ne serait pas prescrite pour les années 2016 et 2017 et qu’il y aurait suffisamment d’éléments pour considérer que cette infraction serait réalisée. D’une part, la comptabilité produite ne serait pas complète, puisqu’il n’y aurait notamment aucune pièce permettant d’étayer les versements de V.________ à sa société-fille. D’autre part, V.________ n’aurait pas tenu de comptabilité conformément aux principes de fiabilité, de justification, de clarté et de traçabilité énoncés par l’art. 957a CO. Elle n’aurait en particulier pas établi de comptes consolidés en lien avec F.________ ni produit de pièces relatives à celle-ci.</w:t>
      </w:r>
    </w:p>
    <w:p>
      <w:r>
        <w:rPr>
          <w:b/>
        </w:rPr>
        <w:t>E. 3.2</w:t>
      </w:r>
    </w:p>
    <w:p>
      <w:r>
        <w:t>Aux termes de l’art. 325 CP, sera puni d’une amende, celui qui, intentionnellement ou par négligence, aura contrevenu à l’obligation légale de tenir une comptabilité régulière (al. 1) ou celui qui, intentionnellement ou par négligence, aura contrevenu à l’obligation légale de conserver ses livres, lettres et télégrammes d’affaires (al. 2). L'art. 325 CP sanctionne l'inobservation des prescriptions légales sur la comptabilité ; il est subsidiaire à l'art. 166 CP, dans la mesure où il n'exige pas que l'auteur ait été déclaré en faillite ni qu'un acte de défaut de biens ait été dressé contre lui (TF 6B_1185/2019 du 13 janvier 2020 consid. 2.2).</w:t>
      </w:r>
    </w:p>
    <w:p>
      <w:r>
        <w:rPr>
          <w:b/>
        </w:rPr>
        <w:t>E. 3.3</w:t>
      </w:r>
    </w:p>
    <w:p>
      <w:r>
        <w:t>En l’espèce, comme l’a indiqué la Chambre de céans dans son arrêt du</w:t>
      </w:r>
    </w:p>
    <w:p>
      <w:r>
        <w:rPr>
          <w:b/>
        </w:rPr>
        <w:t>E. 8</w:t>
      </w:r>
    </w:p>
    <w:p>
      <w:r>
        <w:t>septembre 2020, la dissolution selon l’art. 731b CO, prononcée en application de l’art. 153b aORC, n’est pas assimilable à une faillite au sens des art. 163 ss CP, de sorte que la cause doit être examinée à l’aune de l’art. 325 CP (cf. consid. 2.3). Or, passible d’une amende, cette infraction constitue une contravention (cf. art. 103 CP) qui, aux termes de l’art. 109 CP, se prescrit par trois ans. Les faits reprochés remontant à plus de trois ans, l’action pénale est donc bien prescrite. L’argument du recourant selon lequel cette infraction ne serait pas prescrite dès lors que les bilans d’une société devraient être établis dans les six mois suivant la clôture de l’exercice n’est pas pertinent. S’agissant d’une infraction par omission, le dies a quo du délai de prescription correspond au jour où l’auteur aurait dû agir ou à celui où prend fin l’obligation d’agir à laquelle il aurait dû se plier (Dupuis et al. [éd.], Petit commentaire, Code pénal, 2 e éd., Bâle 2017, n. 2 ad art. 325 CP). En l’occurrence, le recourant ne reproche pas aux prévenus d’avoir méconnu le délai de six mois qu’il invoque et qui est prévu par l’art. 958 al. 3 CO : il soutient que la comptabilité de V.________ ne serait pas complète et qu’elle ne serait pas conforme aux principes de fiabilité, de justification, de clarté et de traçabilité de l’art. 957a CO. Or, dans un tel cas, force est de considérer que le dies a quo du délai de prescription est déterminé par la fin de l’exercice comptable concerné. Partant, la prescription de l’action pénale constituant un empêchement de procéder au sens de l’art. 319 al. 1 let. d CPP (Moreillon/Parein-Reymond, Petit commentaire, Code de procédure pénale, 2 e éd., Bâle 2016, n. 17 ad art. 319 CPP), c’est à juste titre que la procureure a ordonné le classement de la procédure pour inobservation des prescriptions légales sur la comptabilité. C’est au demeurant également à raison qu’elle a considéré que les faits dénoncés par E.________ ne revêtaient aucun aspect pénal. 4. Il résulte de ce qui précède que le recours, manifestement mal fondé, doit être rejeté sans échange d’écritures (art. 390 al. 2 CPP), et l’ordonnance entreprise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mai 2021 est confirmée. III. Les frais d’arrêt, par 1’100 fr. (mille cent francs), sont mis à la charge de E.________. IV. L’arrêt est exécutoire. Le président :               La greffière : Du Le présent arrêt, dont la rédaction a été approuvée à huis clos, est notifié, par l'envoi d'une copie complète, à : - M. E.________, - M. G.________, - M. M.________, - M. J.________,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