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915 vom 10. August 2021</w:t>
      </w:r>
    </w:p>
    <w:p>
      <w:r>
        <w:t>VD Tribunal cantonal, 2021-08-10, FR</w:t>
      </w:r>
    </w:p>
    <w:p>
      <w:r>
        <w:rPr>
          <w:b/>
        </w:rPr>
        <w:t xml:space="preserve">Quelle: </w:t>
      </w:r>
      <w:r>
        <w:t>https://mcp.opencaselaw.ch/entscheid/vd_findinfo_D_cision___2021___915</w:t>
      </w:r>
    </w:p>
    <w:p>
      <w:r>
        <w:t>FR: VD_FINDINFO Décision / 2021 / 915 du 10 août 2021</w:t>
      </w:r>
    </w:p>
    <w:p>
      <w:r>
        <w:t>IT: VD_FINDINFO Décision / 2021 / 915 del 10 agosto 2021</w:t>
      </w:r>
    </w:p>
    <w:p>
      <w:pPr>
        <w:pStyle w:val="Heading2"/>
      </w:pPr>
      <w:r>
        <w:t>Regeste</w:t>
      </w:r>
    </w:p>
    <w:p>
      <w:r>
        <w:t>DIFFAMATION, INFRACTIONS CONTRE L'HONNEUR, PREUVE DE LA VÉRITÉ, VIOLENCE DOMESTIQUE, ADMISSION DE LA DEMANDE, CLASSEMENT DE LA PROCÉDURE, ENQUÊTE PÉNALE | 14 CP, 173 CP, 174 CP, 319 al. 1 CPP (CH), 428 al. 4 CPP (CH), 436 al. 3 CPP (CH)</w:t>
      </w:r>
    </w:p>
    <w:p>
      <w:pPr>
        <w:pStyle w:val="Heading2"/>
      </w:pPr>
      <w:r>
        <w:t>Erwägungen</w:t>
      </w:r>
    </w:p>
    <w:p>
      <w:r>
        <w:rPr>
          <w:b/>
        </w:rPr>
        <w:t>E. 1</w:t>
      </w:r>
    </w:p>
    <w:p>
      <w:r>
        <w:t>Les parties peuvent attaquer une ordonnance de classement rendue par le Ministère public (art. 319 ss CPP) devant l’autorité de recours qui, dans le canton de Vaud, est la Chambre des recours pénale du Tribunal cantonal (art. 322 al.</w:t>
      </w:r>
    </w:p>
    <w:p>
      <w:r>
        <w:rPr>
          <w:b/>
        </w:rPr>
        <w:t>E. 2</w:t>
      </w:r>
    </w:p>
    <w:p>
      <w:r>
        <w:t>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op. cit.,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6B_1047/2019 précité). Il faut se placer exclusivement sur les éléments dont il avait connaissance à l’époque de sa déclaration ( ibid. ).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w:t>
      </w:r>
    </w:p>
    <w:p>
      <w:r>
        <w:rPr>
          <w:b/>
        </w:rPr>
        <w:t>E. 2.1</w:t>
      </w:r>
    </w:p>
    <w:p>
      <w:r>
        <w:t>Le recourant critique la motivation de l’ordonnance de classement, soutenant que le Ministère public aurait opéré un renversement du fardeau de la preuve, en retenant qu’il n’avait pas été « formellement démontré que [les faits qui lui sont reprochés] n’avaient pas eu lieu ». En effet, une fois le caractère attentatoire à l’honneur démontré, il appartiendrait à l’intimée (prévenue) d’apporter la preuve que ses propos étaient véridiques, afin de bénéficier de la clause libératoire de l’art. 173 ch. 2 CP. Cette dernière ne pouvait en outre pas croire de bonne foi que les faits dénoncés s’étaient passés, si tel n’était en réalité pas le cas. Le recourant rappelle en outre qu’il n’a jamais été entendu durant la procédure pénale et qu’il n’avait donc pas pu se déterminer. Le classement serait ainsi infondé et à tout le moins prématuré.</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Cette décision doit être prise en application du principe « in dubio pro duriore », qui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6B_310/2020 du 17 juillet 2020 consid. 2.1 ; TF 6B_199/2020 du 9 avril 2020 consid. 3.1). L'autorité de recours ne peut confirmer un classement au seul motif qu'une condamnation n'apparaît pas plus probable qu'un acquittement (TF 6B_874/2017 du 18 avril 2018 consid. 5.1 et réf. cit.).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4 août 2020/603 et les références citées).</w:t>
      </w:r>
    </w:p>
    <w:p>
      <w:r>
        <w:rPr>
          <w:b/>
        </w:rPr>
        <w:t>E. 2.2.2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du 15 décembre 2017 consid. 3.1). Pour apprécier si une déclaration est attentatoire à l'honneur, il faut procéder à une interprétation objective selon le sens que le destinataire non prévenu devait, dans les circonstances d'espèce, lui attribuer (ATF 145 IV 462 précité consid. 4.2.3 ; ATF 137 IV 313 précité consid. 2.1.3). Les mêmes termes n'ont donc pas nécessairement la même portée suivant le contexte dans lequel ils sont employés (ATF 118 IV 248 consid. 2b ; ATF 105 IV 194 précité consid. 2). Selon la jurisprudence, un texte doit être analysé non seulement en fonction des expressions utilisées, prises séparément, mais aussi selon le sens général qui se dégage du texte dans son ensemble (ATF 137 IV 313 précité). Déterminer le contenu d'un message relève des constatations de fait. Le sens qu'un destinataire non prévenu confère aux expressions et images utilisées constitue en revanche une question de droit (ATF 137 IV 313 précité). Il y a atteinte à l'honneur si on évoque une infraction pénale ou un comportement clairement réprouvé par les conceptions morales généralement admises (ATF 145 IV 462 précité ; TF 6B_1254/2019 du 16 mars 2020 consid. 6.1 ; TF 6B_1047/2019 du 15 janvier 2020 consid. 3.1 ; TF 6B_1268/2019 du 15 janvier 2020 consid. 1.2). La jurisprudence a récemment confirmé la compétence du Ministère public pour rendre, selon les circonstances, une ordonnance de non-entrée en matière, de classement ou une ordonnance pénale lorsqu’une infraction de diffamation est en cause. En particulier,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(TF 6B_1047/2019 précité et les références citées).</w:t>
      </w:r>
    </w:p>
    <w:p>
      <w:r>
        <w:rPr>
          <w:b/>
        </w:rPr>
        <w:t>E. 2.2.3</w:t>
      </w:r>
    </w:p>
    <w:p>
      <w:r>
        <w:t>Conformément à l’art. 14 CP, quiconque agit comme la loi l’ordonne ou l’autorise se comporte de manière licite, même si l’acte est punissable en vertu du code pénal ou d’une autre loi. Selon la jurisprudence, cette norme peut, dans certaines hypothèses, exclure la culpabilité en cas d’atteinte à l’honneur. Il en va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ATF 118 IV 248 consid. 2c et d ; ATF 116 IV 211 consid. 4a ; ATF 98 IV 86 consid. 3 ; TF 6B_475/2020 du 31 août 2020 consid. 2.2.2 et les réf. citées). La jurisprudence admet que le devoir procédural d’alléguer les faits constitue un devoir de s’exprimer selon l’art. 14 CP ; une partie (ou son avocat) peut ainsi invoquer cette disposition à la condition de s’être exprimée de bonne foi, de s’être limitée aux déclarations nécessaires et pertinentes et d’avoir présenté comme telles de simples suppositions (TF 6B_1254/2019 du 16 mars 2020 consid. 7.1 et les réf. cit.).</w:t>
      </w:r>
    </w:p>
    <w:p>
      <w:r>
        <w:rPr>
          <w:b/>
        </w:rPr>
        <w:t>E. 2.2.4</w:t>
      </w:r>
    </w:p>
    <w:p>
      <w:r>
        <w:t>La loi prévoit la possibilité pour une personne accusée de diffamation d’apporter des preuves libératoires qui excluent sa condamnation. Ainsi, aux termes de l’art. 173 ch.</w:t>
      </w:r>
    </w:p>
    <w:p>
      <w:r>
        <w:rPr>
          <w:b/>
        </w:rPr>
        <w:t>E. 2.3</w:t>
      </w:r>
    </w:p>
    <w:p>
      <w:r>
        <w:t>En l’espèce, il faut tout d’abord constater qu’à tout le moins, l’allégué 105 du mémoire déposé durant la procédure civile par U.________ est attentatoire à l’honneur, puisque celle-ci a accusé le recourant de l’avoir frappée, ce qui serait constitutif d’une infraction pénale. La condition d’une atteinte à l’honneur au sens des art. 173 ch. 1 et 174 ch. 1 CP est donc remplie. S’agissant de l’allégué 104, visant le fait que le recourant pouvait se montrer violent, la question de savoir si cette allégation fait passer ce dernier pour quelqu’un de méprisable peut demeurer ouverte. Dans ces conditions, la Procureure aurait d’abord dû examiner si la prévenue pouvait se prévaloir du fait justificatif de l’art. 14 CP, ce qu’elle n’a pas (du moins pas expressément) fait. A titre subsidiaire, elle devait examiner si la prévenue pouvait être admise à apporter les preuves libératoires. Enfin, à titre plus subsidiaire, comme le soutient à juste titre le recourant, il revenait à la prévenue d’apporter la preuve que ses propos attentatoires à l’honneur étaient véridiques ou qu’elle les a proférés de bonne foi (cf. art. 173 ch. 2 CP). L’ordonnance de classement pour les faits reprochés au recourant ne retient pas que les violences sont établies, contrairement à ce que soutient l’intimée. On ne peut donc rien en déduire. La conclusion opérée par le Ministère public au sujet de la preuve de la vérité n’est pas admissible ; quant à la bonne foi de la prévenue, elle n’est pas exclue, mais en l’état de l’instruction, on ne saurait la retenir ; il s’ensuit que l’ordonnance de classement rendue en faveur de l’intimée pour les infractions d’atteinte à l’honneur est mal fondée. Par ailleurs, le Ministère public n’a procédé à aucune audition, ni du plaignant ni de la prévenue (entendue par la police). Les éléments à disposition ne sont donc, en l’état, pas suffisants pour permettre un examen des questions qui précèdent et a fortiori un classement, qui s’avère prématuré. L'instruction doit par conséquent être complétée dans le sens indiqué ci-dessus.</w:t>
      </w:r>
    </w:p>
    <w:p>
      <w:r>
        <w:rPr>
          <w:b/>
        </w:rPr>
        <w:t>E. 3</w:t>
      </w:r>
    </w:p>
    <w:p>
      <w:r>
        <w:t>Il s’ensuit que le recours doit être admis et l’ordonnance de classement annulée. Le dossier de la cause sera renvoyé au Ministère public de l’arrondissement de Lausanne pour qu’il procède dans le sens des considérants. Les frais d'arrêt, par 1’210 fr. (art. 20 al. 1 TFIP [tarif des frais de procédure et indemnités en matière pénale du 28 septembre 2010 ; BLV 312.03.1]), seront laissés à la charge de l’Etat (art. 428 al. 4 CPP). Il n’y a pas lieu d’octroyer en seconde instance l’assistance judiciaire à l’intimée par la désignation d’un défenseur d’office, la cause ne présentant aucune complexité, ni en fait ni en droit (art. 132 al. 1 let. b et al. 2 et 136 al. 2 let. c CPP) et celle-ci n’ayant pas justifié d’emblée dans sa requête être dans une situation d’indigence. Les conditions pour bénéficier d’un défenseur d’office ne sont donc pas remplies (art. 132 al. 1 let. b CPP), de sorte que la demande en ce sens d’U.________ sera rejetée. Le recourant, qui a procédé avec l’assistance d’un avocat et qui a obtenu gain de cause, a droit à une indemnité pour les dépenses occasionnées par la procédure de recours. Au vu du mémoire de recours et des écritures produites, les honoraires peuvent être fixés à 1’044 fr., correspondant – selon la liste produite, dont la durée peut être admise – à 3,48 heures d’activité à 300 fr. de l’heure (cf. art. 26a al. 3 TFIP), auxquels s’ajoutent les débours forfaitaires de 2 %, par 20 fr. 88 (cf. art. 26a TFIP qui renvoie à l'art. 19 al. 2 TDC [tarif des dépens en matière civile du 23 novembre 2010 ; BLV 270.11.6]), ainsi qu’un montant correspondant à la TVA (cf. par ex. CREP 4 juin 2019/459 consid. 3 ; CREP 3 juin 2019/352), par 81 fr. 99, ce qui totalise 1'146 fr. 87. En définitive, il sera alloué à F.________ un montant arrondi de 1’147 fr., à la charge de l’Etat. En conséquence, la demande du recourant tendant à la de désignation d’un conseil juridique gratuit pour la procédure de recours est sans objet. Par ces motifs, la Chambre des recours pénale prononce : I. Le recours est admis. II. L’ordonnance du 15 décembre 2020 est annulée. III. Le dossier de la cause est renvoyé au Ministère public de l’arrondissement de Lausanne pour qu’il procède dans le sens des considérants. IV. La requête de désignation d’un défenseur d’office à U.________ pour la procédure de recours est rejetée. V. Une indemnité de 1’147 fr. (mille cent quarante-sept francs) est allouée au recourant F.________ pour l’exercice raisonnable de ses droits dans la procédure de recours, à la charge de l’Etat. VI. La requête de désignation d’un conseil juridique gratuit à F.________ pour la procédure de recours est sans objet. VII. Les frais d’arrêt, par 1'210 fr. (mille deux cent dix francs), sont laissés à la charge de l’Etat. VIII. L’arrêt est exécutoire. Le président :               La greffière : Du Le présent arrêt, dont la rédaction a été approuvée à huis clos, est notifié, par l'envoi d'une copie complète, à : - Me Mathieu Genillod, avocat (pour F.________), ‑ Me Laurent Schuler, avocat (pour U.________),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