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911 vom 21. Juni 2021</w:t>
      </w:r>
    </w:p>
    <w:p>
      <w:r>
        <w:t>VD Tribunal cantonal, 2021-06-21, FR</w:t>
      </w:r>
    </w:p>
    <w:p>
      <w:r>
        <w:rPr>
          <w:b/>
        </w:rPr>
        <w:t xml:space="preserve">Quelle: </w:t>
      </w:r>
      <w:r>
        <w:t>https://mcp.opencaselaw.ch/entscheid/vd_findinfo_D_cision___2021___911</w:t>
      </w:r>
    </w:p>
    <w:p>
      <w:r>
        <w:t>FR: VD_FINDINFO Décision / 2021 / 911 du 21 juin 2021</w:t>
      </w:r>
    </w:p>
    <w:p>
      <w:r>
        <w:t>IT: VD_FINDINFO Décision / 2021 / 911 del 21 giugno 2021</w:t>
      </w:r>
    </w:p>
    <w:p>
      <w:pPr>
        <w:pStyle w:val="Heading2"/>
      </w:pPr>
      <w:r>
        <w:t>Regeste</w:t>
      </w:r>
    </w:p>
    <w:p>
      <w:r>
        <w:t>CONSULTATION DU DOSSIER, REJET DE LA DEMANDE | 101 al. 1 CPP (CH), 393 al. 1 let. a CPP (CH)</w:t>
      </w:r>
    </w:p>
    <w:p>
      <w:pPr>
        <w:pStyle w:val="Heading2"/>
      </w:pPr>
      <w:r>
        <w:t>Erwägungen</w:t>
      </w:r>
    </w:p>
    <w:p>
      <w:r>
        <w:rPr>
          <w:b/>
        </w:rPr>
        <w:t>E. 1</w:t>
      </w:r>
    </w:p>
    <w:p>
      <w:r>
        <w:t>Aux termes de l’art. 393 al. 1 let. a CPP,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interjeté en temps utile, devant l’autorité compétente, par la prévenue qui a qualité pour recourir (cf. art. 382 al. 1 CPP), et satisfaisant aux conditions de formes prescrites (cf. art. 385 al. 1 CPP), le recours est recevable.</w:t>
      </w:r>
    </w:p>
    <w:p>
      <w:r>
        <w:rPr>
          <w:b/>
        </w:rPr>
        <w:t>E. 2.1</w:t>
      </w:r>
    </w:p>
    <w:p>
      <w:r>
        <w:t>La recourante invoque une violation de l’art. 101 CPP, de la loi fédérale du 20 mars 1981 sur l'entraide internationale en matière pénale (EIMP ; RS 351.1) et du traité entre la Confédération suisse et les Etats-Unis d’Amérique sur l’entraide judiciaire en matière pénale.</w:t>
      </w:r>
    </w:p>
    <w:p>
      <w:r>
        <w:rPr>
          <w:b/>
        </w:rPr>
        <w:t>E. 2.2</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Ainsi, le droit de consulter le dossier peut être limité avant la première audition du prévenu, sous réserve de l'hypothèse prévue à l'art. 225 al. 2 CPP ayant trait à la consultation du dossier en matière de détention. Cela correspond à la volonté du législateur fédéral, lequel a clairement refusé de reconnaître de manière générale au prévenu un droit de consulter le dossier dès le début de la procédure. Le Conseil national a écarté une proposition de minorité qui allait dans ce sens au motif qu'une consultation totale et absolue du dossier en début d'enquête pouvait mettre en péril la recherche de la vérité matérielle (BO 2007 CN 949/950).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de la procédure à ce stade de la procédure (cf. ATF 137 IV 172 consid. 2.3 et les réf. citées ; ATF 125 I 96 consid. 3e p. 103; ATF 120 IV 242 consid. 2c/bb p. 245; ATF 119 Ib 12 consid. 6b p. 20). Par ailleurs, le prévenu n'est exposé à aucun préjudice irréparable du fait que la consultation du dossier ne lui est pas permise avant sa première audition par la police dès lors qu'il peut faire usage de son droit de garder le silence et qu'il lui sera en principe loisible de consulter le dossier de la cause à l'issue de cette audience, sous réserve des hypothèses visées à l'art. 108 CPP (ATF 137 IV 172 consid. 2.4).</w:t>
      </w:r>
    </w:p>
    <w:p>
      <w:r>
        <w:rPr>
          <w:b/>
        </w:rPr>
        <w:t>E. 2.3</w:t>
      </w:r>
    </w:p>
    <w:p>
      <w:r>
        <w:t>En l’espèce, on ne voit pas en quoi il est pertinent pour avoir un droit à accéder au dossier, comme le soutient la recourante, qu’elle soit déjà au courant des infractions qui lui sont reprochées par le plaignant. En outre, il est faux de soutenir que la procédure pénale serait enlisée et que la recourante ne pourrait ainsi pas se défendre. L’enquête a en effet débuté le 22 octobre 2020 et la commission rogatoire a été ordonnée le 7 janvier 2021. C’est d’ailleurs parce que la recourante est partie s’installer aux Etats-Unis qu’une telle démarche a dû être ordonnée, précisément pour qu’elle puisse se défendre. La procureure a donc agi avec diligence et l’écoulement du temps ne suffit pas à faire échec à l’art. 101 CPP. Quant à l’argument selon lequel l’enfant aurait, selon les autorités américaines, décidé elle-même de ne pas revenir en Suisse, il n’est pas non plus pertinent s’agissant de la décision querellée, dès lors qu’il relève du fond. Enfin, la recourante n’explique pas en quoi le fait qu’elle ne puisse pas consulter le dossier avant sa première audition violerait l’EIMP ainsi que le traité entre la Confédération suisse et les Etats-Unis d’Amérique sur l’entraide judiciaire en matière pénale. L’ordonnance attaquée est donc conforme à l’art. 101 CPP tel que défini par la jurisprudence et les moyens soulevés doivent être rejetés.</w:t>
      </w:r>
    </w:p>
    <w:p>
      <w:r>
        <w:rPr>
          <w:b/>
        </w:rPr>
        <w:t>E. 3</w:t>
      </w:r>
    </w:p>
    <w:p>
      <w:r>
        <w:t>En définitive, le recours, manifestement mal fondé, doit être rejeté sans échange d’écritures (art. 390 al. 2 CPP) et l’ordonnance attaquée confirmée. Les frais de la procédure de recours, constitués en l’espèce de l’émolument d’arrêt, par 660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1 er juin 2021 est confirmée. III. Les frais d’arrêt, par 660 fr. (six cent soixante francs), sont mis à la charge d’A.________. IV. L’arrêt est exécutoire. Le président :               La greffière : Du Le présent arrêt, dont la rédaction a été approuvée à huis clos, est notifié, par l'envoi d'une copie complète, à : - Me Sébastien Pedroli, avocat (pour A.________),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