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904 vom 27. September 2021</w:t>
      </w:r>
    </w:p>
    <w:p>
      <w:r>
        <w:t>VD Tribunal cantonal, 2021-09-27, FR</w:t>
      </w:r>
    </w:p>
    <w:p>
      <w:r>
        <w:rPr>
          <w:b/>
        </w:rPr>
        <w:t xml:space="preserve">Quelle: </w:t>
      </w:r>
      <w:r>
        <w:t>https://mcp.opencaselaw.ch/entscheid/vd_findinfo_D_cision___2021___904</w:t>
      </w:r>
    </w:p>
    <w:p>
      <w:r>
        <w:t>FR: VD_FINDINFO Décision / 2021 / 904 du 27 septembre 2021</w:t>
      </w:r>
    </w:p>
    <w:p>
      <w:r>
        <w:t>IT: VD_FINDINFO Décision / 2021 / 904 del 27 settembre 2021</w:t>
      </w:r>
    </w:p>
    <w:p>
      <w:pPr>
        <w:pStyle w:val="Heading2"/>
      </w:pPr>
      <w:r>
        <w:t>Regeste</w:t>
      </w:r>
    </w:p>
    <w:p>
      <w:r>
        <w:t>DÉCISION D'IRRECEVABILITÉ, ORDONNANCE PÉNALE, OPPOSITION{PROCÉDURE}, FORME ÉCRITE, SIGNATURE, IDENTITÉ | 110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CPP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par l’avocate K.________, prétendant agir au nom d’« F.________, de sexe masculin, de type caucasien, numéro signalétique : PCN [...] ». Il convient d’abord d’examiner si le dépôt du recours respecte les exigences de la forme écrite posées par l’art. 396 al. 1 CPP.</w:t>
      </w:r>
    </w:p>
    <w:p>
      <w:r>
        <w:rPr>
          <w:b/>
        </w:rPr>
        <w:t>E. 1.3</w:t>
      </w:r>
    </w:p>
    <w:p>
      <w:r>
        <w:t>et TF 6B_110/2013 du 28 mai 2013 consid. 2.3). Il s’ensuit qu’en l’occurrence, le prétendu client de l’avocate K.________, n’ayant fourni aucune identité, ne peut pas se prévaloir d’un « alias » mais tout au plus d’un numéro d’inconnu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le prétendu client de l’avocate K.________ ne saurait se prévaloir de son droit au silence pour refuser de révéler son identité et de signer une procuration en bonne et due forme en faveur de son éventuel conseil de choix.</w:t>
      </w:r>
    </w:p>
    <w:p>
      <w:r>
        <w:rPr>
          <w:b/>
        </w:rPr>
        <w:t>E. 2</w:t>
      </w:r>
    </w:p>
    <w:p>
      <w:r>
        <w:t>septembre F.________ », il n’est pas muni de la signature manuscrite de la partie visée par l’ordonnance pénale et qui prétend avoir fait opposition à celle-ci, mais seulement de celle de Me K.________. En outre, s’il figure au dossier deux procurations conférées à cette avocate comportant un paraphe illisible pour l’une et une empreinte digitale de mauvaise qualité accompagnée de la mention manuscrite « F.________ » pour l’autre, il n’y figure aucune procuration comportant la signature de la partie. Et pour cause, puisque, pour qu’une signature en bonne et due forme figure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de fournir ses papiers d’identité et de signer manuscritement un quelconque acte (procès-verbal, accusé de réception de l’ordonnance pénale, opposition et recours). Au vu de ce qui précède, il faut en conclure que le recours n’est signé que par l’avocate K.________, et que celle-ci n’établit pas être au bénéfice d’un pouvoir de représentation conféré par la partie visée par l’ordonnance pénale, conforme à l’art. 129 al. 2 CPP. Dans la mesure où il ne s’agit pas d’une omission involontaire de l’avocate K.________, mais d’un choix délibéré, la Chambre de céans n’a pas l’obligation de lui impartir un délai pour que son prétendu mandant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si le recours comporte, sous la mention « Bon pour accord : F.________, PCN [...] (sic) », une empreinte digitale avec la mention manuscrite « Genève</w:t>
      </w:r>
    </w:p>
    <w:p>
      <w:r>
        <w:rPr>
          <w:b/>
        </w:rPr>
        <w:t>E. 2.2.2</w:t>
      </w:r>
    </w:p>
    <w:p>
      <w:r>
        <w:t>Quant à l’argument selon lequel la partie visée par l’ordonnance pénale serait en droit d’utiliser un « alias » plutôt que de dévoiler son identité, il ne trouve appui sur aucune règle du Code de procédure pénale, et l’avocate K.________ n’en cite aucune. Au demeurant, il convient de relever qu’un numéro d’inconnu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w:t>
      </w:r>
    </w:p>
    <w:p>
      <w:r>
        <w:rPr>
          <w:b/>
        </w:rPr>
        <w:t>E. 2.3</w:t>
      </w:r>
    </w:p>
    <w:p>
      <w:r>
        <w:t>Au vu de ce qui précède, déposé par un représentant sans pouvoir, le recours est irrecevable.</w:t>
      </w:r>
    </w:p>
    <w:p>
      <w:r>
        <w:rPr>
          <w:b/>
        </w:rPr>
        <w:t>E. 2.4</w:t>
      </w:r>
    </w:p>
    <w:p>
      <w:r>
        <w:t>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3</w:t>
      </w:r>
    </w:p>
    <w:p>
      <w:r>
        <w:t>En définitive, le recours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de l’avocate K.________ qui, en tant que « falsus procurator », les a occasionnés (art. 417 et 428 al. 1 in fine CPP ; ATF 129 IV 206 consid. 2 ; TF 1B_371/2015 du 19 janvier 2016 ; TF 4F_15/2008 du 20 novembre 2013 consid. 2.3.3 ; TF 4C_392/2006 du 27 février 2007 consid. 6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Vu le sort du recours, aucune indemnité ne sera allouée à la personne prétendument représentée par l’avocate K.________ pour les dépenses occasionnées par la procédure. Par ces motifs, la Chambre des recours pénale prononce : I. Le recours est irrecevable. II. Les frais d’arrêt, par 1’210 fr. (mille deux cent dix francs), sont mis à la charge de Me K.________. III. L’arrêt est exécutoire. Le président :               La greffière : Du Le présent arrêt, dont la rédaction a été approuvée à huis clos, est notifié, par l'envoi d'une copie complète, à : - Me K.________, avocate, - Ministère public central, et communiqué à : ‑ M. le 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